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ind w:left="2519" w:right="2162" w:firstLine="0"/>
        <w:jc w:val="center"/>
        <w:rPr>
          <w:b/>
          <w:sz w:val="30"/>
        </w:rPr>
      </w:pPr>
      <w:r>
        <w:rPr>
          <w:b/>
          <w:sz w:val="30"/>
        </w:rPr>
        <w:t>建投大宗平台---劳务分包合同</w:t>
      </w:r>
    </w:p>
    <w:p>
      <w:pPr>
        <w:pStyle w:val="3"/>
        <w:spacing w:before="4"/>
        <w:ind w:left="0"/>
        <w:rPr>
          <w:b/>
          <w:sz w:val="16"/>
        </w:rPr>
      </w:pPr>
    </w:p>
    <w:p>
      <w:pPr>
        <w:pStyle w:val="2"/>
        <w:spacing w:before="67"/>
      </w:pPr>
      <w:r>
        <w:t>电子合同编号：</w:t>
      </w:r>
    </w:p>
    <w:p>
      <w:pPr>
        <w:pStyle w:val="3"/>
        <w:ind w:left="0"/>
        <w:rPr>
          <w:b/>
        </w:rPr>
      </w:pPr>
    </w:p>
    <w:p>
      <w:pPr>
        <w:pStyle w:val="3"/>
        <w:ind w:left="0"/>
        <w:rPr>
          <w:b/>
          <w:sz w:val="25"/>
        </w:rPr>
      </w:pPr>
    </w:p>
    <w:p>
      <w:pPr>
        <w:spacing w:before="0" w:line="302" w:lineRule="auto"/>
        <w:ind w:left="600" w:right="5776" w:firstLine="0"/>
        <w:jc w:val="left"/>
        <w:rPr>
          <w:b/>
          <w:sz w:val="24"/>
        </w:rPr>
      </w:pPr>
      <w:r>
        <w:rPr>
          <w:b/>
          <w:sz w:val="24"/>
        </w:rPr>
        <w:t>合同当事人基本信息： 劳务发包方：</w:t>
      </w:r>
    </w:p>
    <w:p>
      <w:pPr>
        <w:spacing w:before="82" w:line="362" w:lineRule="auto"/>
        <w:ind w:left="600" w:right="6016" w:firstLine="0"/>
        <w:jc w:val="left"/>
        <w:rPr>
          <w:b/>
          <w:sz w:val="24"/>
        </w:rPr>
      </w:pPr>
      <w:r>
        <w:rPr>
          <w:b/>
          <w:sz w:val="24"/>
        </w:rPr>
        <w:t>统一社会信用代码： 住所：</w:t>
      </w:r>
    </w:p>
    <w:p>
      <w:pPr>
        <w:spacing w:before="5"/>
        <w:ind w:left="600" w:right="0" w:firstLine="0"/>
        <w:jc w:val="left"/>
        <w:rPr>
          <w:b/>
          <w:sz w:val="24"/>
        </w:rPr>
      </w:pPr>
      <w:r>
        <w:rPr>
          <w:b/>
          <w:sz w:val="24"/>
        </w:rPr>
        <w:t>法定代表人:</w:t>
      </w:r>
    </w:p>
    <w:p>
      <w:pPr>
        <w:spacing w:before="161" w:line="362" w:lineRule="auto"/>
        <w:ind w:left="600" w:right="6739" w:firstLine="0"/>
        <w:jc w:val="left"/>
        <w:rPr>
          <w:b/>
          <w:sz w:val="24"/>
        </w:rPr>
      </w:pPr>
      <w:r>
        <w:rPr>
          <w:b/>
          <w:sz w:val="24"/>
        </w:rPr>
        <w:t>委托代理人： 开户行：</w:t>
      </w:r>
    </w:p>
    <w:p>
      <w:pPr>
        <w:spacing w:before="2" w:line="364" w:lineRule="auto"/>
        <w:ind w:left="600" w:right="6016" w:firstLine="0"/>
        <w:jc w:val="left"/>
        <w:rPr>
          <w:b/>
          <w:sz w:val="24"/>
        </w:rPr>
      </w:pPr>
      <w:r>
        <w:rPr>
          <w:b/>
          <w:sz w:val="24"/>
        </w:rPr>
        <w:t>开户行地址及电话： 账号：</w:t>
      </w:r>
    </w:p>
    <w:p>
      <w:pPr>
        <w:pStyle w:val="3"/>
        <w:ind w:left="0"/>
        <w:rPr>
          <w:b/>
        </w:rPr>
      </w:pPr>
    </w:p>
    <w:p>
      <w:pPr>
        <w:spacing w:before="160"/>
        <w:ind w:left="600" w:right="0" w:firstLine="0"/>
        <w:jc w:val="left"/>
        <w:rPr>
          <w:b/>
          <w:sz w:val="24"/>
        </w:rPr>
      </w:pPr>
      <w:r>
        <w:rPr>
          <w:b/>
          <w:sz w:val="24"/>
        </w:rPr>
        <w:t>劳务承包方：</w:t>
      </w:r>
    </w:p>
    <w:p>
      <w:pPr>
        <w:spacing w:before="160" w:line="362" w:lineRule="auto"/>
        <w:ind w:left="600" w:right="6016" w:firstLine="0"/>
        <w:jc w:val="left"/>
        <w:rPr>
          <w:b/>
          <w:sz w:val="24"/>
        </w:rPr>
      </w:pPr>
      <w:r>
        <w:rPr>
          <w:b/>
          <w:sz w:val="24"/>
        </w:rPr>
        <w:t>统一社会信用代码： 住所：</w:t>
      </w:r>
    </w:p>
    <w:p>
      <w:pPr>
        <w:spacing w:before="5" w:line="364" w:lineRule="auto"/>
        <w:ind w:left="600" w:right="6739" w:firstLine="0"/>
        <w:jc w:val="both"/>
        <w:rPr>
          <w:b/>
          <w:sz w:val="24"/>
        </w:rPr>
      </w:pPr>
      <w:r>
        <w:rPr>
          <w:b/>
          <w:sz w:val="24"/>
        </w:rPr>
        <w:t>法定代表人： 委托代理人： 开户行：</w:t>
      </w:r>
    </w:p>
    <w:p>
      <w:pPr>
        <w:spacing w:before="0" w:line="364" w:lineRule="auto"/>
        <w:ind w:left="600" w:right="6016" w:firstLine="0"/>
        <w:jc w:val="left"/>
        <w:rPr>
          <w:b/>
          <w:sz w:val="24"/>
        </w:rPr>
      </w:pPr>
      <w:r>
        <w:rPr>
          <w:b/>
          <w:sz w:val="24"/>
        </w:rPr>
        <w:t>开户行地址及电话： 账号：</w:t>
      </w:r>
    </w:p>
    <w:p>
      <w:pPr>
        <w:tabs>
          <w:tab w:val="left" w:pos="6080"/>
        </w:tabs>
        <w:spacing w:before="0" w:line="306" w:lineRule="exact"/>
        <w:ind w:left="600" w:right="0" w:firstLine="0"/>
        <w:jc w:val="left"/>
        <w:rPr>
          <w:rFonts w:ascii="Times New Roman" w:eastAsia="Times New Roman"/>
          <w:b/>
          <w:sz w:val="24"/>
        </w:rPr>
      </w:pPr>
      <w:r>
        <w:rPr>
          <w:b/>
          <w:w w:val="99"/>
          <w:sz w:val="24"/>
        </w:rPr>
        <w:t>劳</w:t>
      </w:r>
      <w:r>
        <w:rPr>
          <w:b/>
          <w:spacing w:val="2"/>
          <w:w w:val="99"/>
          <w:sz w:val="24"/>
        </w:rPr>
        <w:t>务</w:t>
      </w:r>
      <w:r>
        <w:rPr>
          <w:b/>
          <w:w w:val="99"/>
          <w:sz w:val="24"/>
        </w:rPr>
        <w:t>发包</w:t>
      </w:r>
      <w:r>
        <w:rPr>
          <w:b/>
          <w:spacing w:val="2"/>
          <w:w w:val="99"/>
          <w:sz w:val="24"/>
        </w:rPr>
        <w:t>方</w:t>
      </w:r>
      <w:r>
        <w:rPr>
          <w:b/>
          <w:w w:val="99"/>
          <w:sz w:val="24"/>
        </w:rPr>
        <w:t>（</w:t>
      </w:r>
      <w:r>
        <w:rPr>
          <w:b/>
          <w:spacing w:val="2"/>
          <w:w w:val="99"/>
          <w:sz w:val="24"/>
        </w:rPr>
        <w:t>全</w:t>
      </w:r>
      <w:r>
        <w:rPr>
          <w:b/>
          <w:spacing w:val="-1"/>
          <w:w w:val="99"/>
          <w:sz w:val="24"/>
        </w:rPr>
        <w:t>称</w:t>
      </w:r>
      <w:r>
        <w:rPr>
          <w:b/>
          <w:spacing w:val="-120"/>
          <w:w w:val="99"/>
          <w:sz w:val="24"/>
        </w:rPr>
        <w:t>）</w:t>
      </w:r>
      <w:r>
        <w:rPr>
          <w:b/>
          <w:w w:val="99"/>
          <w:sz w:val="24"/>
        </w:rPr>
        <w:t>：</w:t>
      </w:r>
      <w:r>
        <w:rPr>
          <w:b/>
          <w:sz w:val="24"/>
        </w:rPr>
        <w:t xml:space="preserve"> </w:t>
      </w:r>
      <w:r>
        <w:rPr>
          <w:rFonts w:ascii="Times New Roman" w:eastAsia="Times New Roman"/>
          <w:b/>
          <w:sz w:val="24"/>
          <w:u w:val="single"/>
        </w:rPr>
        <w:t xml:space="preserve"> </w:t>
      </w:r>
      <w:r>
        <w:rPr>
          <w:rFonts w:ascii="Times New Roman" w:eastAsia="Times New Roman"/>
          <w:b/>
          <w:sz w:val="24"/>
          <w:u w:val="single"/>
        </w:rPr>
        <w:tab/>
      </w:r>
    </w:p>
    <w:p>
      <w:pPr>
        <w:tabs>
          <w:tab w:val="left" w:pos="6080"/>
        </w:tabs>
        <w:spacing w:before="158"/>
        <w:ind w:left="600" w:right="0" w:firstLine="0"/>
        <w:jc w:val="left"/>
        <w:rPr>
          <w:rFonts w:ascii="Times New Roman" w:eastAsia="Times New Roman"/>
          <w:b/>
          <w:sz w:val="24"/>
        </w:rPr>
      </w:pPr>
      <w:r>
        <w:rPr>
          <w:b/>
          <w:w w:val="99"/>
          <w:sz w:val="24"/>
        </w:rPr>
        <w:t>劳</w:t>
      </w:r>
      <w:r>
        <w:rPr>
          <w:b/>
          <w:spacing w:val="2"/>
          <w:w w:val="99"/>
          <w:sz w:val="24"/>
        </w:rPr>
        <w:t>务</w:t>
      </w:r>
      <w:r>
        <w:rPr>
          <w:b/>
          <w:w w:val="99"/>
          <w:sz w:val="24"/>
        </w:rPr>
        <w:t>承包</w:t>
      </w:r>
      <w:r>
        <w:rPr>
          <w:b/>
          <w:spacing w:val="2"/>
          <w:w w:val="99"/>
          <w:sz w:val="24"/>
        </w:rPr>
        <w:t>方</w:t>
      </w:r>
      <w:r>
        <w:rPr>
          <w:b/>
          <w:w w:val="99"/>
          <w:sz w:val="24"/>
        </w:rPr>
        <w:t>（</w:t>
      </w:r>
      <w:r>
        <w:rPr>
          <w:b/>
          <w:spacing w:val="2"/>
          <w:w w:val="99"/>
          <w:sz w:val="24"/>
        </w:rPr>
        <w:t>全</w:t>
      </w:r>
      <w:r>
        <w:rPr>
          <w:b/>
          <w:spacing w:val="-1"/>
          <w:w w:val="99"/>
          <w:sz w:val="24"/>
        </w:rPr>
        <w:t>称</w:t>
      </w:r>
      <w:r>
        <w:rPr>
          <w:b/>
          <w:spacing w:val="-120"/>
          <w:w w:val="99"/>
          <w:sz w:val="24"/>
        </w:rPr>
        <w:t>）</w:t>
      </w:r>
      <w:r>
        <w:rPr>
          <w:b/>
          <w:w w:val="99"/>
          <w:sz w:val="24"/>
        </w:rPr>
        <w:t>：</w:t>
      </w:r>
      <w:r>
        <w:rPr>
          <w:b/>
          <w:sz w:val="24"/>
        </w:rPr>
        <w:t xml:space="preserve"> </w:t>
      </w:r>
      <w:r>
        <w:rPr>
          <w:rFonts w:ascii="Times New Roman" w:eastAsia="Times New Roman"/>
          <w:b/>
          <w:sz w:val="24"/>
          <w:u w:val="single"/>
        </w:rPr>
        <w:t xml:space="preserve"> </w:t>
      </w:r>
      <w:r>
        <w:rPr>
          <w:rFonts w:ascii="Times New Roman" w:eastAsia="Times New Roman"/>
          <w:b/>
          <w:sz w:val="24"/>
          <w:u w:val="single"/>
        </w:rPr>
        <w:tab/>
      </w:r>
    </w:p>
    <w:p>
      <w:pPr>
        <w:pStyle w:val="3"/>
        <w:ind w:left="0"/>
        <w:rPr>
          <w:rFonts w:ascii="Times New Roman"/>
          <w:b/>
          <w:sz w:val="20"/>
        </w:rPr>
      </w:pPr>
    </w:p>
    <w:p>
      <w:pPr>
        <w:pStyle w:val="3"/>
        <w:spacing w:before="7"/>
        <w:ind w:left="0"/>
        <w:rPr>
          <w:rFonts w:ascii="Times New Roman"/>
          <w:b/>
          <w:sz w:val="28"/>
        </w:rPr>
      </w:pPr>
    </w:p>
    <w:p>
      <w:pPr>
        <w:pStyle w:val="3"/>
        <w:spacing w:before="67" w:line="362" w:lineRule="auto"/>
        <w:ind w:right="357" w:firstLine="480"/>
      </w:pPr>
      <w:r>
        <w:rPr>
          <w:spacing w:val="-8"/>
        </w:rPr>
        <w:t>根据中华人民共和国《民法典》等相关法律法规，遵循平等自愿、公平诚信</w:t>
      </w:r>
      <w:r>
        <w:t>原则，现双方达成一致签订本劳务分包合同，以便双方在施工过程中履行。</w:t>
      </w:r>
    </w:p>
    <w:p>
      <w:pPr>
        <w:pStyle w:val="2"/>
        <w:spacing w:before="5"/>
      </w:pPr>
      <w:r>
        <w:t>一、工程概况</w:t>
      </w:r>
    </w:p>
    <w:p>
      <w:pPr>
        <w:pStyle w:val="3"/>
        <w:tabs>
          <w:tab w:val="left" w:pos="7079"/>
        </w:tabs>
        <w:spacing w:before="158"/>
        <w:ind w:left="600"/>
      </w:pPr>
      <w:r>
        <w:t>1、工程名称：</w:t>
      </w:r>
      <w:r>
        <w:rPr>
          <w:u w:val="single"/>
        </w:rPr>
        <w:t xml:space="preserve">  与建筑工程施工合同中工程项目名称一致</w:t>
      </w:r>
      <w:r>
        <w:rPr>
          <w:u w:val="single"/>
        </w:rPr>
        <w:tab/>
      </w:r>
    </w:p>
    <w:p>
      <w:pPr>
        <w:pStyle w:val="3"/>
        <w:tabs>
          <w:tab w:val="left" w:pos="2639"/>
          <w:tab w:val="left" w:pos="3359"/>
          <w:tab w:val="left" w:pos="4199"/>
          <w:tab w:val="left" w:pos="5279"/>
          <w:tab w:val="left" w:pos="7079"/>
        </w:tabs>
        <w:spacing w:before="160"/>
        <w:ind w:left="600"/>
      </w:pPr>
      <w:r>
        <w:t>2、工程地点：</w:t>
      </w:r>
      <w:r>
        <w:rPr>
          <w:u w:val="single"/>
        </w:rPr>
        <w:t xml:space="preserve"> </w:t>
      </w:r>
      <w:r>
        <w:rPr>
          <w:u w:val="single"/>
        </w:rPr>
        <w:tab/>
      </w:r>
      <w:r>
        <w:t>省</w:t>
      </w:r>
      <w:r>
        <w:rPr>
          <w:u w:val="single"/>
        </w:rPr>
        <w:t xml:space="preserve"> </w:t>
      </w:r>
      <w:r>
        <w:rPr>
          <w:u w:val="single"/>
        </w:rPr>
        <w:tab/>
      </w:r>
      <w:r>
        <w:t>市</w:t>
      </w:r>
      <w:r>
        <w:rPr>
          <w:u w:val="single"/>
        </w:rPr>
        <w:t xml:space="preserve"> </w:t>
      </w:r>
      <w:r>
        <w:rPr>
          <w:u w:val="single"/>
        </w:rPr>
        <w:tab/>
      </w:r>
      <w:r>
        <w:t>区/县</w:t>
      </w:r>
      <w:r>
        <w:rPr>
          <w:u w:val="single"/>
        </w:rPr>
        <w:t xml:space="preserve"> </w:t>
      </w:r>
      <w:r>
        <w:rPr>
          <w:u w:val="single"/>
        </w:rPr>
        <w:tab/>
      </w:r>
      <w:r>
        <w:rPr>
          <w:u w:val="single"/>
        </w:rPr>
        <w:t>乡/镇</w:t>
      </w:r>
      <w:r>
        <w:rPr>
          <w:u w:val="single"/>
        </w:rPr>
        <w:tab/>
      </w:r>
      <w:r>
        <w:t>（可编辑）</w:t>
      </w:r>
    </w:p>
    <w:p>
      <w:pPr>
        <w:spacing w:after="0"/>
        <w:sectPr>
          <w:type w:val="continuous"/>
          <w:pgSz w:w="11910" w:h="16840"/>
          <w:pgMar w:top="1380" w:right="1440" w:bottom="280" w:left="1680" w:header="720" w:footer="720" w:gutter="0"/>
          <w:cols w:space="720" w:num="1"/>
        </w:sectPr>
      </w:pPr>
    </w:p>
    <w:p>
      <w:pPr>
        <w:pStyle w:val="3"/>
        <w:tabs>
          <w:tab w:val="left" w:pos="2579"/>
        </w:tabs>
        <w:spacing w:before="63"/>
        <w:ind w:left="600"/>
      </w:pPr>
      <w:r>
        <w:t>3、工程规模;</w:t>
      </w:r>
      <w:r>
        <w:rPr>
          <w:u w:val="single"/>
        </w:rPr>
        <w:t xml:space="preserve"> </w:t>
      </w:r>
      <w:r>
        <w:rPr>
          <w:u w:val="single"/>
        </w:rPr>
        <w:tab/>
      </w:r>
      <w:r>
        <w:t>m</w:t>
      </w:r>
      <w:r>
        <w:rPr>
          <w:position w:val="12"/>
          <w:sz w:val="12"/>
        </w:rPr>
        <w:t>2</w:t>
      </w:r>
      <w:r>
        <w:t>（可编辑）</w:t>
      </w:r>
    </w:p>
    <w:p>
      <w:pPr>
        <w:pStyle w:val="3"/>
        <w:spacing w:before="160"/>
        <w:ind w:left="600"/>
      </w:pPr>
      <w:r>
        <w:t>4、劳务分包方式： □纯人工</w:t>
      </w:r>
    </w:p>
    <w:p>
      <w:pPr>
        <w:pStyle w:val="3"/>
        <w:spacing w:before="158"/>
        <w:ind w:left="2760"/>
      </w:pPr>
      <w:r>
        <w:t>□纯人工带辅材</w:t>
      </w:r>
    </w:p>
    <w:p>
      <w:pPr>
        <w:pStyle w:val="3"/>
        <w:spacing w:before="161" w:line="364" w:lineRule="auto"/>
        <w:ind w:right="505" w:firstLine="2640"/>
        <w:jc w:val="both"/>
      </w:pPr>
      <w:r>
        <w:t>□纯人工带辅材带小型机械（即施工过程中发生的主要建筑材料费及大中型建筑机械租赁费由劳务发包方提供，劳务承包方自行解决辅助材料及小型机具）</w:t>
      </w:r>
    </w:p>
    <w:p>
      <w:pPr>
        <w:pStyle w:val="2"/>
        <w:spacing w:line="305" w:lineRule="exact"/>
      </w:pPr>
      <w:r>
        <w:t>二、劳务分包范围和计价方式及价款</w:t>
      </w:r>
    </w:p>
    <w:p>
      <w:pPr>
        <w:pStyle w:val="3"/>
        <w:tabs>
          <w:tab w:val="left" w:pos="6239"/>
        </w:tabs>
        <w:spacing w:before="160" w:line="364" w:lineRule="auto"/>
        <w:ind w:right="385" w:firstLine="480"/>
      </w:pPr>
      <w:r>
        <w:t>1</w:t>
      </w:r>
      <w:r>
        <w:rPr>
          <w:rFonts w:hint="eastAsia"/>
          <w:lang w:val="en-US" w:eastAsia="zh-CN"/>
        </w:rPr>
        <w:t>.</w:t>
      </w:r>
      <w:r>
        <w:t>分包范围：□劳务大包□钢筋加工□钢筋绑扎□钢筋加工绑扎□模板</w:t>
      </w:r>
      <w:r>
        <w:rPr>
          <w:spacing w:val="-19"/>
        </w:rPr>
        <w:t>工</w:t>
      </w:r>
      <w:r>
        <w:t>程□架子工程□砼工程□油漆涂料工程□粉刷工程□</w:t>
      </w:r>
      <w:r>
        <w:rPr>
          <w:u w:val="single"/>
        </w:rPr>
        <w:t xml:space="preserve"> </w:t>
      </w:r>
      <w:r>
        <w:rPr>
          <w:u w:val="single"/>
        </w:rPr>
        <w:tab/>
      </w:r>
      <w:r>
        <w:t>。</w:t>
      </w:r>
    </w:p>
    <w:p>
      <w:pPr>
        <w:pStyle w:val="3"/>
        <w:spacing w:line="364" w:lineRule="auto"/>
        <w:ind w:right="357" w:firstLine="480"/>
        <w:jc w:val="both"/>
      </w:pPr>
      <w:r>
        <w:rPr>
          <w:spacing w:val="-6"/>
        </w:rPr>
        <w:t>应符合劳务承包方资质证书范围的作业内容，包括但不限于基础、主体、装</w:t>
      </w:r>
      <w:r>
        <w:rPr>
          <w:spacing w:val="-11"/>
        </w:rPr>
        <w:t>饰、卫生设施、屋面及室内外、安全防护、文明施工及其他工作等。具体分包范</w:t>
      </w:r>
      <w:r>
        <w:t>围及内容执行工作量清单工作项目内容。</w:t>
      </w:r>
    </w:p>
    <w:p>
      <w:pPr>
        <w:pStyle w:val="3"/>
        <w:spacing w:line="307" w:lineRule="exact"/>
        <w:ind w:left="600"/>
      </w:pPr>
      <w:r>
        <w:t>2</w:t>
      </w:r>
      <w:r>
        <w:rPr>
          <w:rFonts w:hint="eastAsia"/>
          <w:lang w:eastAsia="zh-CN"/>
        </w:rPr>
        <w:t>.</w:t>
      </w:r>
      <w:r>
        <w:t>劳务工作量清单</w:t>
      </w:r>
    </w:p>
    <w:p>
      <w:pPr>
        <w:pStyle w:val="3"/>
        <w:spacing w:before="2"/>
        <w:ind w:left="0"/>
        <w:rPr>
          <w:sz w:val="12"/>
        </w:rPr>
      </w:pPr>
    </w:p>
    <w:tbl>
      <w:tblPr>
        <w:tblStyle w:val="4"/>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5"/>
        <w:gridCol w:w="1372"/>
        <w:gridCol w:w="1513"/>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15" w:type="dxa"/>
          </w:tcPr>
          <w:p>
            <w:pPr>
              <w:pStyle w:val="8"/>
              <w:spacing w:before="75"/>
              <w:ind w:left="599"/>
              <w:rPr>
                <w:sz w:val="24"/>
              </w:rPr>
            </w:pPr>
            <w:r>
              <w:rPr>
                <w:sz w:val="24"/>
              </w:rPr>
              <w:t>工作项目内容</w:t>
            </w:r>
          </w:p>
        </w:tc>
        <w:tc>
          <w:tcPr>
            <w:tcW w:w="1372" w:type="dxa"/>
          </w:tcPr>
          <w:p>
            <w:pPr>
              <w:pStyle w:val="8"/>
              <w:spacing w:before="75"/>
              <w:ind w:left="107"/>
              <w:rPr>
                <w:sz w:val="24"/>
              </w:rPr>
            </w:pPr>
            <w:r>
              <w:rPr>
                <w:sz w:val="24"/>
              </w:rPr>
              <w:t>单位</w:t>
            </w:r>
          </w:p>
        </w:tc>
        <w:tc>
          <w:tcPr>
            <w:tcW w:w="1513" w:type="dxa"/>
          </w:tcPr>
          <w:p>
            <w:pPr>
              <w:pStyle w:val="8"/>
              <w:spacing w:before="75"/>
              <w:ind w:left="107"/>
              <w:rPr>
                <w:sz w:val="24"/>
              </w:rPr>
            </w:pPr>
            <w:r>
              <w:rPr>
                <w:sz w:val="24"/>
              </w:rPr>
              <w:t>工程量</w:t>
            </w:r>
          </w:p>
        </w:tc>
        <w:tc>
          <w:tcPr>
            <w:tcW w:w="2460" w:type="dxa"/>
          </w:tcPr>
          <w:p>
            <w:pPr>
              <w:pStyle w:val="8"/>
              <w:tabs>
                <w:tab w:val="left" w:pos="1078"/>
              </w:tabs>
              <w:spacing w:before="75"/>
              <w:ind w:left="598"/>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015" w:type="dxa"/>
          </w:tcPr>
          <w:p>
            <w:pPr>
              <w:pStyle w:val="8"/>
              <w:rPr>
                <w:rFonts w:ascii="Times New Roman"/>
                <w:sz w:val="22"/>
              </w:rPr>
            </w:pPr>
          </w:p>
        </w:tc>
        <w:tc>
          <w:tcPr>
            <w:tcW w:w="1372" w:type="dxa"/>
          </w:tcPr>
          <w:p>
            <w:pPr>
              <w:pStyle w:val="8"/>
              <w:rPr>
                <w:rFonts w:ascii="Times New Roman"/>
                <w:sz w:val="22"/>
              </w:rPr>
            </w:pPr>
          </w:p>
        </w:tc>
        <w:tc>
          <w:tcPr>
            <w:tcW w:w="1513" w:type="dxa"/>
          </w:tcPr>
          <w:p>
            <w:pPr>
              <w:pStyle w:val="8"/>
              <w:rPr>
                <w:rFonts w:ascii="Times New Roman"/>
                <w:sz w:val="22"/>
              </w:rPr>
            </w:pPr>
          </w:p>
        </w:tc>
        <w:tc>
          <w:tcPr>
            <w:tcW w:w="246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015" w:type="dxa"/>
          </w:tcPr>
          <w:p>
            <w:pPr>
              <w:pStyle w:val="8"/>
              <w:rPr>
                <w:rFonts w:ascii="Times New Roman"/>
                <w:sz w:val="22"/>
              </w:rPr>
            </w:pPr>
          </w:p>
        </w:tc>
        <w:tc>
          <w:tcPr>
            <w:tcW w:w="1372" w:type="dxa"/>
          </w:tcPr>
          <w:p>
            <w:pPr>
              <w:pStyle w:val="8"/>
              <w:rPr>
                <w:rFonts w:ascii="Times New Roman"/>
                <w:sz w:val="22"/>
              </w:rPr>
            </w:pPr>
          </w:p>
        </w:tc>
        <w:tc>
          <w:tcPr>
            <w:tcW w:w="1513" w:type="dxa"/>
          </w:tcPr>
          <w:p>
            <w:pPr>
              <w:pStyle w:val="8"/>
              <w:rPr>
                <w:rFonts w:ascii="Times New Roman"/>
                <w:sz w:val="22"/>
              </w:rPr>
            </w:pPr>
          </w:p>
        </w:tc>
        <w:tc>
          <w:tcPr>
            <w:tcW w:w="246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015" w:type="dxa"/>
          </w:tcPr>
          <w:p>
            <w:pPr>
              <w:pStyle w:val="8"/>
              <w:rPr>
                <w:rFonts w:ascii="Times New Roman"/>
                <w:sz w:val="22"/>
              </w:rPr>
            </w:pPr>
          </w:p>
        </w:tc>
        <w:tc>
          <w:tcPr>
            <w:tcW w:w="1372" w:type="dxa"/>
          </w:tcPr>
          <w:p>
            <w:pPr>
              <w:pStyle w:val="8"/>
              <w:rPr>
                <w:rFonts w:ascii="Times New Roman"/>
                <w:sz w:val="22"/>
              </w:rPr>
            </w:pPr>
          </w:p>
        </w:tc>
        <w:tc>
          <w:tcPr>
            <w:tcW w:w="1513" w:type="dxa"/>
          </w:tcPr>
          <w:p>
            <w:pPr>
              <w:pStyle w:val="8"/>
              <w:rPr>
                <w:rFonts w:ascii="Times New Roman"/>
                <w:sz w:val="22"/>
              </w:rPr>
            </w:pPr>
          </w:p>
        </w:tc>
        <w:tc>
          <w:tcPr>
            <w:tcW w:w="246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015" w:type="dxa"/>
          </w:tcPr>
          <w:p>
            <w:pPr>
              <w:pStyle w:val="8"/>
              <w:rPr>
                <w:rFonts w:ascii="Times New Roman"/>
                <w:sz w:val="22"/>
              </w:rPr>
            </w:pPr>
          </w:p>
        </w:tc>
        <w:tc>
          <w:tcPr>
            <w:tcW w:w="1372" w:type="dxa"/>
          </w:tcPr>
          <w:p>
            <w:pPr>
              <w:pStyle w:val="8"/>
              <w:rPr>
                <w:rFonts w:ascii="Times New Roman"/>
                <w:sz w:val="22"/>
              </w:rPr>
            </w:pPr>
          </w:p>
        </w:tc>
        <w:tc>
          <w:tcPr>
            <w:tcW w:w="1513" w:type="dxa"/>
          </w:tcPr>
          <w:p>
            <w:pPr>
              <w:pStyle w:val="8"/>
              <w:rPr>
                <w:rFonts w:ascii="Times New Roman"/>
                <w:sz w:val="22"/>
              </w:rPr>
            </w:pPr>
          </w:p>
        </w:tc>
        <w:tc>
          <w:tcPr>
            <w:tcW w:w="246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015" w:type="dxa"/>
          </w:tcPr>
          <w:p>
            <w:pPr>
              <w:pStyle w:val="8"/>
              <w:rPr>
                <w:rFonts w:ascii="Times New Roman"/>
                <w:sz w:val="22"/>
              </w:rPr>
            </w:pPr>
          </w:p>
        </w:tc>
        <w:tc>
          <w:tcPr>
            <w:tcW w:w="1372" w:type="dxa"/>
          </w:tcPr>
          <w:p>
            <w:pPr>
              <w:pStyle w:val="8"/>
              <w:rPr>
                <w:rFonts w:ascii="Times New Roman"/>
                <w:sz w:val="22"/>
              </w:rPr>
            </w:pPr>
          </w:p>
        </w:tc>
        <w:tc>
          <w:tcPr>
            <w:tcW w:w="1513" w:type="dxa"/>
          </w:tcPr>
          <w:p>
            <w:pPr>
              <w:pStyle w:val="8"/>
              <w:rPr>
                <w:rFonts w:ascii="Times New Roman"/>
                <w:sz w:val="22"/>
              </w:rPr>
            </w:pPr>
          </w:p>
        </w:tc>
        <w:tc>
          <w:tcPr>
            <w:tcW w:w="246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015" w:type="dxa"/>
          </w:tcPr>
          <w:p>
            <w:pPr>
              <w:pStyle w:val="8"/>
              <w:rPr>
                <w:rFonts w:ascii="Times New Roman"/>
                <w:sz w:val="22"/>
              </w:rPr>
            </w:pPr>
          </w:p>
        </w:tc>
        <w:tc>
          <w:tcPr>
            <w:tcW w:w="1372" w:type="dxa"/>
          </w:tcPr>
          <w:p>
            <w:pPr>
              <w:pStyle w:val="8"/>
              <w:rPr>
                <w:rFonts w:ascii="Times New Roman"/>
                <w:sz w:val="22"/>
              </w:rPr>
            </w:pPr>
          </w:p>
        </w:tc>
        <w:tc>
          <w:tcPr>
            <w:tcW w:w="1513" w:type="dxa"/>
          </w:tcPr>
          <w:p>
            <w:pPr>
              <w:pStyle w:val="8"/>
              <w:rPr>
                <w:rFonts w:ascii="Times New Roman"/>
                <w:sz w:val="22"/>
              </w:rPr>
            </w:pPr>
          </w:p>
        </w:tc>
        <w:tc>
          <w:tcPr>
            <w:tcW w:w="246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3015" w:type="dxa"/>
          </w:tcPr>
          <w:p>
            <w:pPr>
              <w:pStyle w:val="8"/>
              <w:rPr>
                <w:rFonts w:ascii="Times New Roman"/>
                <w:sz w:val="22"/>
              </w:rPr>
            </w:pPr>
          </w:p>
        </w:tc>
        <w:tc>
          <w:tcPr>
            <w:tcW w:w="1372" w:type="dxa"/>
          </w:tcPr>
          <w:p>
            <w:pPr>
              <w:pStyle w:val="8"/>
              <w:rPr>
                <w:rFonts w:ascii="Times New Roman"/>
                <w:sz w:val="22"/>
              </w:rPr>
            </w:pPr>
          </w:p>
        </w:tc>
        <w:tc>
          <w:tcPr>
            <w:tcW w:w="1513" w:type="dxa"/>
          </w:tcPr>
          <w:p>
            <w:pPr>
              <w:pStyle w:val="8"/>
              <w:rPr>
                <w:rFonts w:ascii="Times New Roman"/>
                <w:sz w:val="22"/>
              </w:rPr>
            </w:pPr>
          </w:p>
        </w:tc>
        <w:tc>
          <w:tcPr>
            <w:tcW w:w="2460" w:type="dxa"/>
          </w:tcPr>
          <w:p>
            <w:pPr>
              <w:pStyle w:val="8"/>
              <w:rPr>
                <w:rFonts w:ascii="Times New Roman"/>
                <w:sz w:val="22"/>
              </w:rPr>
            </w:pPr>
          </w:p>
        </w:tc>
      </w:tr>
    </w:tbl>
    <w:p>
      <w:pPr>
        <w:pStyle w:val="3"/>
        <w:spacing w:before="3"/>
        <w:ind w:left="540"/>
      </w:pPr>
      <w:r>
        <w:t>3</w:t>
      </w:r>
      <w:r>
        <w:rPr>
          <w:rFonts w:hint="eastAsia"/>
          <w:lang w:eastAsia="zh-CN"/>
        </w:rPr>
        <w:t>.</w:t>
      </w:r>
      <w:r>
        <w:t>计价方式：</w:t>
      </w:r>
    </w:p>
    <w:p>
      <w:pPr>
        <w:pStyle w:val="3"/>
        <w:spacing w:before="158"/>
        <w:ind w:left="840"/>
      </w:pPr>
      <w:r>
        <w:t>□建筑面积</w:t>
      </w:r>
      <w:r>
        <w:rPr>
          <w:u w:val="single"/>
        </w:rPr>
        <w:t xml:space="preserve"> </w:t>
      </w:r>
      <w:r>
        <w:t>㎡的固定综合单价计价法：□</w:t>
      </w:r>
      <w:r>
        <w:rPr>
          <w:u w:val="single"/>
        </w:rPr>
        <w:t xml:space="preserve"> </w:t>
      </w:r>
      <w:r>
        <w:t>元/㎡</w:t>
      </w:r>
    </w:p>
    <w:p>
      <w:pPr>
        <w:pStyle w:val="3"/>
        <w:spacing w:before="160"/>
        <w:ind w:left="840"/>
      </w:pPr>
      <w:r>
        <w:t>□分部分项工程固定综合单价计价法：</w:t>
      </w:r>
    </w:p>
    <w:p>
      <w:pPr>
        <w:pStyle w:val="3"/>
        <w:tabs>
          <w:tab w:val="left" w:pos="4799"/>
        </w:tabs>
        <w:spacing w:before="159"/>
        <w:ind w:left="1560"/>
        <w:rPr>
          <w:rFonts w:ascii="Times New Roman" w:hAnsi="Times New Roman" w:eastAsia="Times New Roman"/>
        </w:rPr>
      </w:pPr>
      <w:r>
        <w:t>□筏板</w:t>
      </w:r>
      <w:r>
        <w:rPr>
          <w:u w:val="single"/>
        </w:rPr>
        <w:t xml:space="preserve">  </w:t>
      </w:r>
      <w:r>
        <w:t>元/□㎡□吨□m</w:t>
      </w:r>
      <w:r>
        <w:rPr>
          <w:position w:val="12"/>
          <w:sz w:val="12"/>
        </w:rPr>
        <w:t>3</w:t>
      </w:r>
      <w:r>
        <w:t>□</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799"/>
        </w:tabs>
        <w:spacing w:before="160"/>
        <w:ind w:left="1560"/>
        <w:rPr>
          <w:rFonts w:ascii="Times New Roman" w:hAnsi="Times New Roman" w:eastAsia="Times New Roman"/>
        </w:rPr>
      </w:pPr>
      <w:r>
        <w:t>□主体</w:t>
      </w:r>
      <w:r>
        <w:rPr>
          <w:u w:val="single"/>
        </w:rPr>
        <w:t xml:space="preserve">  </w:t>
      </w:r>
      <w:r>
        <w:t>元/□㎡□吨□m</w:t>
      </w:r>
      <w:r>
        <w:rPr>
          <w:position w:val="12"/>
          <w:sz w:val="12"/>
        </w:rPr>
        <w:t>3</w:t>
      </w:r>
      <w:r>
        <w:t>□</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5339"/>
        </w:tabs>
        <w:spacing w:before="158"/>
        <w:ind w:left="1560"/>
        <w:rPr>
          <w:rFonts w:ascii="Times New Roman" w:hAnsi="Times New Roman" w:eastAsia="Times New Roman"/>
        </w:rPr>
      </w:pPr>
      <w:r>
        <w:t>□钢筋加工绑扎</w:t>
      </w:r>
      <w:r>
        <w:rPr>
          <w:u w:val="single"/>
        </w:rPr>
        <w:t xml:space="preserve">  </w:t>
      </w:r>
      <w:r>
        <w:t>元/□㎡□吨□</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859"/>
        </w:tabs>
        <w:spacing w:before="161"/>
        <w:ind w:left="1560"/>
        <w:rPr>
          <w:rFonts w:ascii="Times New Roman" w:hAnsi="Times New Roman" w:eastAsia="Times New Roman"/>
        </w:rPr>
      </w:pPr>
      <w:r>
        <w:t>□钢筋加工</w:t>
      </w:r>
      <w:r>
        <w:rPr>
          <w:u w:val="single"/>
        </w:rPr>
        <w:t xml:space="preserve">  </w:t>
      </w:r>
      <w:r>
        <w:t>元/□㎡□吨□</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859"/>
        </w:tabs>
        <w:spacing w:before="158"/>
        <w:ind w:left="1560"/>
        <w:rPr>
          <w:rFonts w:ascii="Times New Roman" w:hAnsi="Times New Roman" w:eastAsia="Times New Roman"/>
        </w:rPr>
      </w:pPr>
      <w:r>
        <w:t>□钢筋绑扎</w:t>
      </w:r>
      <w:r>
        <w:rPr>
          <w:u w:val="single"/>
        </w:rPr>
        <w:t xml:space="preserve">  </w:t>
      </w:r>
      <w:r>
        <w:t>元/□㎡□吨□</w:t>
      </w:r>
      <w:r>
        <w:rPr>
          <w:rFonts w:ascii="Times New Roman" w:hAnsi="Times New Roman" w:eastAsia="Times New Roman"/>
          <w:u w:val="single"/>
        </w:rPr>
        <w:t xml:space="preserve"> </w:t>
      </w:r>
      <w:r>
        <w:rPr>
          <w:rFonts w:ascii="Times New Roman" w:hAnsi="Times New Roman" w:eastAsia="Times New Roman"/>
          <w:u w:val="single"/>
        </w:rPr>
        <w:tab/>
      </w:r>
    </w:p>
    <w:p>
      <w:pPr>
        <w:spacing w:after="0"/>
        <w:rPr>
          <w:rFonts w:ascii="Times New Roman" w:hAnsi="Times New Roman" w:eastAsia="Times New Roman"/>
        </w:rPr>
        <w:sectPr>
          <w:pgSz w:w="11910" w:h="16840"/>
          <w:pgMar w:top="1360" w:right="1440" w:bottom="280" w:left="1680" w:header="720" w:footer="720" w:gutter="0"/>
          <w:cols w:space="720" w:num="1"/>
        </w:sectPr>
      </w:pPr>
    </w:p>
    <w:p>
      <w:pPr>
        <w:pStyle w:val="3"/>
        <w:tabs>
          <w:tab w:val="left" w:pos="4379"/>
        </w:tabs>
        <w:spacing w:before="43"/>
        <w:ind w:left="1560"/>
        <w:rPr>
          <w:rFonts w:ascii="Times New Roman" w:hAnsi="Times New Roman" w:eastAsia="Times New Roman"/>
        </w:rPr>
      </w:pPr>
      <w:r>
        <w:t>□模板工程</w:t>
      </w:r>
      <w:r>
        <w:rPr>
          <w:u w:val="single"/>
        </w:rPr>
        <w:t xml:space="preserve">  </w:t>
      </w:r>
      <w:r>
        <w:t>元/□㎡□</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079"/>
        </w:tabs>
        <w:spacing w:before="160"/>
        <w:ind w:left="1560"/>
        <w:rPr>
          <w:rFonts w:ascii="Times New Roman" w:hAnsi="Times New Roman" w:eastAsia="Times New Roman"/>
        </w:rPr>
      </w:pPr>
      <w:r>
        <w:t>□砼工程</w:t>
      </w:r>
      <w:r>
        <w:rPr>
          <w:u w:val="single"/>
        </w:rPr>
        <w:t xml:space="preserve">  </w:t>
      </w:r>
      <w:r>
        <w:t>元/□m</w:t>
      </w:r>
      <w:r>
        <w:rPr>
          <w:position w:val="12"/>
          <w:sz w:val="12"/>
        </w:rPr>
        <w:t>3</w:t>
      </w:r>
      <w:r>
        <w:t>□</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2219"/>
          <w:tab w:val="left" w:pos="4799"/>
        </w:tabs>
        <w:spacing w:before="158"/>
        <w:ind w:left="1560"/>
        <w:rPr>
          <w:rFonts w:ascii="Times New Roman" w:hAnsi="Times New Roman" w:eastAsia="Times New Roman"/>
        </w:rPr>
      </w:pPr>
      <w:r>
        <w:t>□</w:t>
      </w:r>
      <w:r>
        <w:rPr>
          <w:u w:val="single"/>
        </w:rPr>
        <w:t xml:space="preserve"> </w:t>
      </w:r>
      <w:r>
        <w:rPr>
          <w:u w:val="single"/>
        </w:rPr>
        <w:tab/>
      </w:r>
      <w:r>
        <w:rPr>
          <w:u w:val="single"/>
        </w:rPr>
        <w:t xml:space="preserve"> </w:t>
      </w:r>
      <w:r>
        <w:t>元/□㎡□吨□m</w:t>
      </w:r>
      <w:r>
        <w:rPr>
          <w:position w:val="12"/>
          <w:sz w:val="12"/>
        </w:rPr>
        <w:t>3</w:t>
      </w:r>
      <w:r>
        <w:t>□</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799"/>
          <w:tab w:val="left" w:pos="5999"/>
        </w:tabs>
        <w:spacing w:before="161"/>
        <w:ind w:left="1560"/>
      </w:pPr>
      <w:r>
        <w:t>□其他计价方式，具体为：</w:t>
      </w:r>
      <w:r>
        <w:rPr>
          <w:u w:val="single"/>
        </w:rPr>
        <w:t xml:space="preserve"> </w:t>
      </w:r>
      <w:r>
        <w:rPr>
          <w:u w:val="single"/>
        </w:rPr>
        <w:tab/>
      </w:r>
      <w:r>
        <w:rPr>
          <w:u w:val="single"/>
        </w:rPr>
        <w:t>，税率为</w:t>
      </w:r>
      <w:r>
        <w:rPr>
          <w:u w:val="single"/>
        </w:rPr>
        <w:tab/>
      </w:r>
      <w:r>
        <w:rPr>
          <w:u w:val="single"/>
        </w:rPr>
        <w:t>%</w:t>
      </w:r>
    </w:p>
    <w:p>
      <w:pPr>
        <w:pStyle w:val="3"/>
        <w:tabs>
          <w:tab w:val="left" w:pos="1199"/>
          <w:tab w:val="left" w:pos="2159"/>
          <w:tab w:val="left" w:pos="3419"/>
          <w:tab w:val="left" w:pos="4079"/>
          <w:tab w:val="left" w:pos="5020"/>
          <w:tab w:val="left" w:pos="7079"/>
          <w:tab w:val="left" w:pos="8123"/>
        </w:tabs>
        <w:spacing w:before="158" w:line="364" w:lineRule="auto"/>
        <w:ind w:right="421" w:firstLine="600"/>
      </w:pPr>
      <w:r>
        <w:t>□零星用工（普工）</w:t>
      </w:r>
      <w:r>
        <w:rPr>
          <w:u w:val="single"/>
        </w:rPr>
        <w:t xml:space="preserve"> </w:t>
      </w:r>
      <w:r>
        <w:rPr>
          <w:u w:val="single"/>
        </w:rPr>
        <w:tab/>
      </w:r>
      <w:r>
        <w:t>元/工日（每个工日为</w:t>
      </w:r>
      <w:r>
        <w:rPr>
          <w:spacing w:val="-60"/>
        </w:rPr>
        <w:t xml:space="preserve"> </w:t>
      </w:r>
      <w:r>
        <w:t>10</w:t>
      </w:r>
      <w:r>
        <w:rPr>
          <w:spacing w:val="-60"/>
        </w:rPr>
        <w:t xml:space="preserve"> </w:t>
      </w:r>
      <w:r>
        <w:t>个小时）如若发生加班作业，则普工工时单价按每小时</w:t>
      </w:r>
      <w:r>
        <w:rPr>
          <w:u w:val="single"/>
        </w:rPr>
        <w:t xml:space="preserve"> </w:t>
      </w:r>
      <w:r>
        <w:rPr>
          <w:u w:val="single"/>
        </w:rPr>
        <w:tab/>
      </w:r>
      <w:r>
        <w:t>元计算，若每天工作不足</w:t>
      </w:r>
      <w:r>
        <w:rPr>
          <w:u w:val="single"/>
        </w:rPr>
        <w:t xml:space="preserve"> </w:t>
      </w:r>
      <w:r>
        <w:rPr>
          <w:u w:val="single"/>
        </w:rPr>
        <w:tab/>
      </w:r>
      <w:r>
        <w:t>小时，则按每小时</w:t>
      </w:r>
      <w:r>
        <w:rPr>
          <w:u w:val="single"/>
        </w:rPr>
        <w:t xml:space="preserve"> </w:t>
      </w:r>
      <w:r>
        <w:rPr>
          <w:u w:val="single"/>
        </w:rPr>
        <w:tab/>
      </w:r>
      <w:r>
        <w:t>元调减</w:t>
      </w:r>
      <w:r>
        <w:rPr>
          <w:spacing w:val="-20"/>
        </w:rPr>
        <w:t>；</w:t>
      </w:r>
      <w:r>
        <w:t>技工工时单价按每小时</w:t>
      </w:r>
      <w:r>
        <w:rPr>
          <w:u w:val="single"/>
        </w:rPr>
        <w:t xml:space="preserve"> </w:t>
      </w:r>
      <w:r>
        <w:rPr>
          <w:u w:val="single"/>
        </w:rPr>
        <w:tab/>
      </w:r>
      <w:r>
        <w:t>元计算</w:t>
      </w:r>
      <w:r>
        <w:rPr>
          <w:spacing w:val="-17"/>
        </w:rPr>
        <w:t>，</w:t>
      </w:r>
      <w:r>
        <w:t>若每天工作不足</w:t>
      </w:r>
      <w:r>
        <w:rPr>
          <w:u w:val="single"/>
        </w:rPr>
        <w:t xml:space="preserve"> </w:t>
      </w:r>
      <w:r>
        <w:rPr>
          <w:u w:val="single"/>
        </w:rPr>
        <w:tab/>
      </w:r>
      <w:r>
        <w:rPr>
          <w:spacing w:val="-18"/>
        </w:rPr>
        <w:t>小</w:t>
      </w:r>
      <w:r>
        <w:t>时，则按每小时</w:t>
      </w:r>
      <w:r>
        <w:rPr>
          <w:u w:val="single"/>
        </w:rPr>
        <w:t xml:space="preserve"> </w:t>
      </w:r>
      <w:r>
        <w:rPr>
          <w:u w:val="single"/>
        </w:rPr>
        <w:tab/>
      </w:r>
      <w:r>
        <w:t>元调减。</w:t>
      </w:r>
    </w:p>
    <w:p>
      <w:pPr>
        <w:pStyle w:val="3"/>
        <w:tabs>
          <w:tab w:val="left" w:pos="1199"/>
          <w:tab w:val="left" w:pos="2159"/>
          <w:tab w:val="left" w:pos="3419"/>
          <w:tab w:val="left" w:pos="4079"/>
          <w:tab w:val="left" w:pos="5020"/>
          <w:tab w:val="left" w:pos="7079"/>
          <w:tab w:val="left" w:pos="8123"/>
        </w:tabs>
        <w:spacing w:before="158" w:line="364" w:lineRule="auto"/>
        <w:ind w:right="421" w:firstLine="600"/>
        <w:rPr>
          <w:sz w:val="24"/>
        </w:rPr>
      </w:pPr>
      <w:r>
        <w:rPr>
          <w:rFonts w:hint="eastAsia"/>
          <w:spacing w:val="-10"/>
          <w:sz w:val="24"/>
          <w:lang w:val="en-US" w:eastAsia="zh-CN"/>
        </w:rPr>
        <w:t>4.</w:t>
      </w:r>
      <w:r>
        <w:rPr>
          <w:spacing w:val="-10"/>
          <w:sz w:val="24"/>
        </w:rPr>
        <w:t>综合单价：均为含税价。指完成承包范围内所有承包内容的价款，已包含</w:t>
      </w:r>
      <w:r>
        <w:rPr>
          <w:spacing w:val="-15"/>
          <w:sz w:val="24"/>
        </w:rPr>
        <w:t>了国家规定发包方应承担的五险一金、税金及法律规定的一切费用、施工过程中</w:t>
      </w:r>
      <w:r>
        <w:rPr>
          <w:spacing w:val="-22"/>
          <w:sz w:val="24"/>
        </w:rPr>
        <w:t>可能发生的风险和市场变化的风险、二次转运、超高、超运距、卸车、施工用架、</w:t>
      </w:r>
      <w:r>
        <w:rPr>
          <w:spacing w:val="-9"/>
          <w:sz w:val="24"/>
        </w:rPr>
        <w:t>材料码放、住宿费及生活水、电费、差旅费、进出场车旅费、劳动保护费</w:t>
      </w:r>
      <w:r>
        <w:rPr>
          <w:sz w:val="24"/>
        </w:rPr>
        <w:t>（安全</w:t>
      </w:r>
      <w:r>
        <w:rPr>
          <w:spacing w:val="-7"/>
          <w:sz w:val="24"/>
        </w:rPr>
        <w:t>帽、手套、工作棚、安全带</w:t>
      </w:r>
      <w:r>
        <w:rPr>
          <w:spacing w:val="-120"/>
          <w:sz w:val="24"/>
        </w:rPr>
        <w:t>）</w:t>
      </w:r>
      <w:r>
        <w:rPr>
          <w:spacing w:val="-5"/>
          <w:sz w:val="24"/>
        </w:rPr>
        <w:t>、特殊证件办理费</w:t>
      </w:r>
      <w:r>
        <w:rPr>
          <w:sz w:val="24"/>
        </w:rPr>
        <w:t>（上岗证</w:t>
      </w:r>
      <w:r>
        <w:rPr>
          <w:spacing w:val="-120"/>
          <w:sz w:val="24"/>
        </w:rPr>
        <w:t>）</w:t>
      </w:r>
      <w:r>
        <w:rPr>
          <w:spacing w:val="-5"/>
          <w:sz w:val="24"/>
        </w:rPr>
        <w:t>、分包方管理费、工用</w:t>
      </w:r>
      <w:r>
        <w:rPr>
          <w:spacing w:val="-10"/>
          <w:sz w:val="24"/>
        </w:rPr>
        <w:t>具费、文明施工费用以及辅助用工、返工费等费用均含在劳务综合单价内，分包方不得向发包方另行计算。</w:t>
      </w:r>
    </w:p>
    <w:p>
      <w:pPr>
        <w:pStyle w:val="3"/>
        <w:spacing w:line="364" w:lineRule="auto"/>
        <w:ind w:right="357" w:firstLine="480"/>
      </w:pPr>
      <w:r>
        <w:rPr>
          <w:spacing w:val="-2"/>
        </w:rPr>
        <w:t>按上述计价方式分包的必须由劳务承包方提供组</w:t>
      </w:r>
      <w:r>
        <w:t>（报</w:t>
      </w:r>
      <w:r>
        <w:rPr>
          <w:spacing w:val="-32"/>
        </w:rPr>
        <w:t>）</w:t>
      </w:r>
      <w:r>
        <w:rPr>
          <w:spacing w:val="-7"/>
        </w:rPr>
        <w:t>价清单，经劳务发包方审核确认后双方签订合同，除特别约定或清单内量的不确定因素以外，单价一</w:t>
      </w:r>
      <w:r>
        <w:rPr>
          <w:spacing w:val="-8"/>
        </w:rPr>
        <w:t>律视为固定综合单价，组价清单做为合同附件。最终结算根据定期的验工计价经</w:t>
      </w:r>
      <w:r>
        <w:t>劳务发包方签认的劳务承包方实际完成的合格工作量为基数乘以清单固定综合单价为准。</w:t>
      </w:r>
    </w:p>
    <w:p>
      <w:pPr>
        <w:pStyle w:val="3"/>
        <w:spacing w:line="364" w:lineRule="auto"/>
        <w:ind w:right="357" w:firstLine="480"/>
        <w:rPr>
          <w:sz w:val="24"/>
        </w:rPr>
      </w:pPr>
      <w:r>
        <w:rPr>
          <w:rFonts w:hint="eastAsia"/>
          <w:lang w:val="en-US" w:eastAsia="zh-CN"/>
        </w:rPr>
        <w:t>5.</w:t>
      </w:r>
      <w:r>
        <w:rPr>
          <w:sz w:val="24"/>
        </w:rPr>
        <w:t>合同价格纳税方式</w:t>
      </w:r>
    </w:p>
    <w:p>
      <w:pPr>
        <w:pStyle w:val="3"/>
        <w:spacing w:line="364" w:lineRule="auto"/>
        <w:ind w:right="357" w:firstLine="480"/>
        <w:rPr>
          <w:sz w:val="24"/>
        </w:rPr>
      </w:pPr>
      <w:r>
        <w:rPr>
          <w:rFonts w:hint="eastAsia"/>
          <w:sz w:val="24"/>
          <w:lang w:val="en-US" w:eastAsia="zh-CN"/>
        </w:rPr>
        <w:t>5.1</w:t>
      </w:r>
      <w:r>
        <w:rPr>
          <w:sz w:val="24"/>
        </w:rPr>
        <w:t>本分包工程总价金额</w:t>
      </w:r>
      <w:r>
        <w:rPr>
          <w:spacing w:val="-10"/>
          <w:sz w:val="24"/>
        </w:rPr>
        <w:t>为</w:t>
      </w:r>
      <w:r>
        <w:rPr>
          <w:sz w:val="24"/>
        </w:rPr>
        <w:t>（大写</w:t>
      </w:r>
      <w:r>
        <w:rPr>
          <w:spacing w:val="-120"/>
          <w:sz w:val="24"/>
        </w:rPr>
        <w:t>）</w:t>
      </w:r>
      <w:r>
        <w:rPr>
          <w:spacing w:val="-11"/>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pacing w:val="-10"/>
          <w:sz w:val="24"/>
        </w:rPr>
        <w:t>元</w:t>
      </w:r>
      <w:r>
        <w:rPr>
          <w:sz w:val="24"/>
        </w:rPr>
        <w:t>（小写</w:t>
      </w:r>
      <w:r>
        <w:rPr>
          <w:spacing w:val="-8"/>
          <w:sz w:val="24"/>
        </w:rPr>
        <w:t>：</w:t>
      </w:r>
      <w:r>
        <w:rPr>
          <w:rFonts w:ascii="Times New Roman" w:eastAsia="Times New Roman"/>
          <w:sz w:val="24"/>
          <w:u w:val="single"/>
        </w:rPr>
        <w:t xml:space="preserve"> </w:t>
      </w:r>
      <w:r>
        <w:rPr>
          <w:rFonts w:ascii="Times New Roman" w:eastAsia="Times New Roman"/>
          <w:sz w:val="24"/>
          <w:u w:val="single"/>
        </w:rPr>
        <w:tab/>
      </w:r>
      <w:r>
        <w:rPr>
          <w:sz w:val="24"/>
        </w:rPr>
        <w:t>元</w:t>
      </w:r>
      <w:r>
        <w:rPr>
          <w:spacing w:val="-129"/>
          <w:sz w:val="24"/>
        </w:rPr>
        <w:t>）</w:t>
      </w:r>
      <w:r>
        <w:rPr>
          <w:spacing w:val="-9"/>
          <w:sz w:val="24"/>
        </w:rPr>
        <w:t>，</w:t>
      </w:r>
      <w:r>
        <w:rPr>
          <w:sz w:val="24"/>
        </w:rPr>
        <w:t>含税价款</w:t>
      </w:r>
      <w:r>
        <w:rPr>
          <w:spacing w:val="-8"/>
          <w:sz w:val="24"/>
        </w:rPr>
        <w:t>为</w:t>
      </w:r>
      <w:r>
        <w:rPr>
          <w:sz w:val="24"/>
        </w:rPr>
        <w:t>（大写</w:t>
      </w:r>
      <w:r>
        <w:rPr>
          <w:spacing w:val="-120"/>
          <w:sz w:val="24"/>
        </w:rPr>
        <w:t>）</w:t>
      </w:r>
      <w:r>
        <w:rPr>
          <w:sz w:val="24"/>
        </w:rPr>
        <w:t>：</w:t>
      </w:r>
      <w:r>
        <w:rPr>
          <w:spacing w:val="-5"/>
          <w:sz w:val="24"/>
        </w:rPr>
        <w:t xml:space="preserve"> </w:t>
      </w:r>
      <w:r>
        <w:rPr>
          <w:rFonts w:ascii="Times New Roman" w:eastAsia="Times New Roman"/>
          <w:sz w:val="24"/>
          <w:u w:val="single"/>
        </w:rPr>
        <w:t xml:space="preserve"> </w:t>
      </w:r>
      <w:r>
        <w:rPr>
          <w:rFonts w:ascii="Times New Roman" w:eastAsia="Times New Roman"/>
          <w:sz w:val="24"/>
          <w:u w:val="single"/>
        </w:rPr>
        <w:tab/>
      </w:r>
      <w:r>
        <w:rPr>
          <w:spacing w:val="-8"/>
          <w:sz w:val="24"/>
        </w:rPr>
        <w:t>元</w:t>
      </w:r>
      <w:r>
        <w:rPr>
          <w:sz w:val="24"/>
        </w:rPr>
        <w:t>（小写</w:t>
      </w:r>
      <w:r>
        <w:rPr>
          <w:spacing w:val="-5"/>
          <w:sz w:val="24"/>
        </w:rPr>
        <w:t>：</w:t>
      </w:r>
      <w:r>
        <w:rPr>
          <w:rFonts w:ascii="Times New Roman" w:eastAsia="Times New Roman"/>
          <w:sz w:val="24"/>
          <w:u w:val="single"/>
        </w:rPr>
        <w:t xml:space="preserve"> </w:t>
      </w:r>
      <w:r>
        <w:rPr>
          <w:rFonts w:ascii="Times New Roman" w:eastAsia="Times New Roman"/>
          <w:sz w:val="24"/>
          <w:u w:val="single"/>
        </w:rPr>
        <w:tab/>
      </w:r>
      <w:r>
        <w:rPr>
          <w:sz w:val="24"/>
        </w:rPr>
        <w:t>元</w:t>
      </w:r>
      <w:r>
        <w:rPr>
          <w:spacing w:val="-120"/>
          <w:sz w:val="24"/>
        </w:rPr>
        <w:t>）</w:t>
      </w:r>
      <w:r>
        <w:rPr>
          <w:spacing w:val="-8"/>
          <w:sz w:val="24"/>
        </w:rPr>
        <w:t>，</w:t>
      </w:r>
      <w:r>
        <w:rPr>
          <w:sz w:val="24"/>
        </w:rPr>
        <w:t>不含税金额</w:t>
      </w:r>
      <w:r>
        <w:rPr>
          <w:spacing w:val="-5"/>
          <w:sz w:val="24"/>
        </w:rPr>
        <w:t>为</w:t>
      </w:r>
      <w:r>
        <w:rPr>
          <w:sz w:val="24"/>
        </w:rPr>
        <w:t>（大写</w:t>
      </w:r>
      <w:r>
        <w:rPr>
          <w:spacing w:val="-17"/>
          <w:sz w:val="24"/>
        </w:rPr>
        <w:t>）</w:t>
      </w:r>
      <w:r>
        <w:rPr>
          <w:sz w:val="24"/>
        </w:rPr>
        <w:t>元（小写</w:t>
      </w:r>
      <w:r>
        <w:rPr>
          <w:sz w:val="24"/>
          <w:u w:val="single"/>
        </w:rPr>
        <w:t xml:space="preserve">：    </w:t>
      </w:r>
      <w:r>
        <w:rPr>
          <w:sz w:val="24"/>
        </w:rPr>
        <w:t>元</w:t>
      </w:r>
      <w:r>
        <w:rPr>
          <w:spacing w:val="-120"/>
          <w:sz w:val="24"/>
        </w:rPr>
        <w:t>），</w:t>
      </w:r>
      <w:r>
        <w:rPr>
          <w:sz w:val="24"/>
        </w:rPr>
        <w:t>（可编辑）</w:t>
      </w:r>
    </w:p>
    <w:p>
      <w:pPr>
        <w:pStyle w:val="3"/>
        <w:spacing w:line="307" w:lineRule="exact"/>
        <w:ind w:left="600"/>
        <w:jc w:val="both"/>
      </w:pPr>
      <w:r>
        <w:t>5.2 工程计税方式：□一般计税法□9%</w:t>
      </w:r>
    </w:p>
    <w:p>
      <w:pPr>
        <w:pStyle w:val="3"/>
        <w:spacing w:before="158" w:line="364" w:lineRule="auto"/>
        <w:ind w:left="611" w:right="4211" w:firstLine="2028"/>
      </w:pPr>
      <w:r>
        <w:t>□简易计税法□3% 5.3发票开具要求及责任：</w:t>
      </w:r>
    </w:p>
    <w:p>
      <w:pPr>
        <w:pStyle w:val="7"/>
        <w:numPr>
          <w:ilvl w:val="0"/>
          <w:numId w:val="0"/>
        </w:numPr>
        <w:tabs>
          <w:tab w:val="left" w:pos="1213"/>
        </w:tabs>
        <w:spacing w:before="0" w:after="0" w:line="364" w:lineRule="auto"/>
        <w:ind w:right="357" w:rightChars="0" w:firstLine="480" w:firstLineChars="200"/>
        <w:jc w:val="both"/>
        <w:rPr>
          <w:sz w:val="24"/>
        </w:rPr>
      </w:pPr>
      <w:r>
        <w:rPr>
          <w:rFonts w:hint="eastAsia"/>
          <w:sz w:val="24"/>
          <w:lang w:val="en-US" w:eastAsia="zh-CN"/>
        </w:rPr>
        <w:t>5.3.1</w:t>
      </w:r>
      <w:r>
        <w:rPr>
          <w:sz w:val="24"/>
        </w:rPr>
        <w:t>劳务承包方应出具合法有效的增值税□普票□专票。劳务承包方开具</w:t>
      </w:r>
      <w:r>
        <w:rPr>
          <w:spacing w:val="-10"/>
          <w:sz w:val="24"/>
        </w:rPr>
        <w:t>的发票不合格的，承担造成的实际损失，劳务承包方的各项合同义务仍按合同约</w:t>
      </w:r>
      <w:r>
        <w:rPr>
          <w:sz w:val="24"/>
        </w:rPr>
        <w:t>定履行。</w:t>
      </w:r>
    </w:p>
    <w:p>
      <w:pPr>
        <w:spacing w:after="0" w:line="364" w:lineRule="auto"/>
        <w:jc w:val="both"/>
        <w:rPr>
          <w:sz w:val="24"/>
        </w:rPr>
        <w:sectPr>
          <w:pgSz w:w="11910" w:h="16840"/>
          <w:pgMar w:top="1380" w:right="1440" w:bottom="280" w:left="1680" w:header="720" w:footer="720" w:gutter="0"/>
          <w:cols w:space="720" w:num="1"/>
        </w:sectPr>
      </w:pPr>
    </w:p>
    <w:p>
      <w:pPr>
        <w:pStyle w:val="7"/>
        <w:numPr>
          <w:ilvl w:val="0"/>
          <w:numId w:val="0"/>
        </w:numPr>
        <w:tabs>
          <w:tab w:val="left" w:pos="1213"/>
        </w:tabs>
        <w:spacing w:before="43" w:after="0" w:line="364" w:lineRule="auto"/>
        <w:ind w:right="237" w:rightChars="0" w:firstLine="480" w:firstLineChars="200"/>
        <w:jc w:val="left"/>
        <w:rPr>
          <w:sz w:val="24"/>
        </w:rPr>
      </w:pPr>
      <w:r>
        <w:rPr>
          <w:rFonts w:hint="eastAsia"/>
          <w:sz w:val="24"/>
          <w:lang w:val="en-US" w:eastAsia="zh-CN"/>
        </w:rPr>
        <w:t>5.3.2</w:t>
      </w:r>
      <w:r>
        <w:rPr>
          <w:sz w:val="24"/>
        </w:rPr>
        <w:t>劳务承包方迟延送达、开具错误等原因导致其提供的增值税专用发票</w:t>
      </w:r>
      <w:r>
        <w:rPr>
          <w:spacing w:val="-15"/>
          <w:sz w:val="24"/>
        </w:rPr>
        <w:t xml:space="preserve">没有通过税务部门认证，造成劳务发包方不能抵扣的，劳务发包方有权拒绝接收， </w:t>
      </w:r>
      <w:r>
        <w:rPr>
          <w:sz w:val="24"/>
        </w:rPr>
        <w:t>劳务承包方承担所造成的实际损失。</w:t>
      </w:r>
    </w:p>
    <w:p>
      <w:pPr>
        <w:pStyle w:val="7"/>
        <w:numPr>
          <w:ilvl w:val="0"/>
          <w:numId w:val="0"/>
        </w:numPr>
        <w:tabs>
          <w:tab w:val="left" w:pos="1079"/>
          <w:tab w:val="left" w:pos="1213"/>
        </w:tabs>
        <w:spacing w:before="0" w:after="0" w:line="364" w:lineRule="auto"/>
        <w:ind w:right="117" w:rightChars="0" w:firstLine="480" w:firstLineChars="200"/>
        <w:jc w:val="left"/>
        <w:rPr>
          <w:sz w:val="24"/>
        </w:rPr>
      </w:pPr>
      <w:r>
        <w:rPr>
          <w:rFonts w:hint="eastAsia"/>
          <w:sz w:val="24"/>
          <w:lang w:val="en-US" w:eastAsia="zh-CN"/>
        </w:rPr>
        <w:t>5.3.3</w:t>
      </w:r>
      <w:r>
        <w:rPr>
          <w:sz w:val="24"/>
        </w:rPr>
        <w:t>劳务承包方开具虚假、作废等无效发票或者违反国家法律法规开具、 提供发票的</w:t>
      </w:r>
      <w:r>
        <w:rPr>
          <w:spacing w:val="-48"/>
          <w:sz w:val="24"/>
        </w:rPr>
        <w:t>，</w:t>
      </w:r>
      <w:r>
        <w:rPr>
          <w:sz w:val="24"/>
        </w:rPr>
        <w:t>劳务承包方应自行承担相应法律责任</w:t>
      </w:r>
      <w:r>
        <w:rPr>
          <w:spacing w:val="-46"/>
          <w:sz w:val="24"/>
        </w:rPr>
        <w:t>，</w:t>
      </w:r>
      <w:r>
        <w:rPr>
          <w:sz w:val="24"/>
        </w:rPr>
        <w:t>并应向劳务发包方支付合同 总价</w:t>
      </w:r>
      <w:r>
        <w:rPr>
          <w:sz w:val="24"/>
          <w:u w:val="single"/>
        </w:rPr>
        <w:t xml:space="preserve"> </w:t>
      </w:r>
      <w:r>
        <w:rPr>
          <w:sz w:val="24"/>
          <w:u w:val="single"/>
        </w:rPr>
        <w:tab/>
      </w:r>
      <w:r>
        <w:rPr>
          <w:sz w:val="24"/>
        </w:rPr>
        <w:t>%的违约金；劳务承包方提供履约保证金的，劳务发包方有权扣除劳务承包方全部履约保证金</w:t>
      </w:r>
      <w:r>
        <w:rPr>
          <w:spacing w:val="-94"/>
          <w:sz w:val="24"/>
        </w:rPr>
        <w:t>，</w:t>
      </w:r>
      <w:r>
        <w:rPr>
          <w:sz w:val="24"/>
        </w:rPr>
        <w:t>以上违约金或履约保证金不足以弥补劳务发包方损失的</w:t>
      </w:r>
      <w:r>
        <w:rPr>
          <w:spacing w:val="-17"/>
          <w:sz w:val="24"/>
        </w:rPr>
        <w:t xml:space="preserve">， </w:t>
      </w:r>
      <w:r>
        <w:rPr>
          <w:sz w:val="24"/>
        </w:rPr>
        <w:t>劳务承包方应予赔偿</w:t>
      </w:r>
      <w:r>
        <w:rPr>
          <w:spacing w:val="-48"/>
          <w:sz w:val="24"/>
        </w:rPr>
        <w:t>；</w:t>
      </w:r>
      <w:r>
        <w:rPr>
          <w:sz w:val="24"/>
        </w:rPr>
        <w:t>劳务承包方重新开具的发票仍与合同约定不符的</w:t>
      </w:r>
      <w:r>
        <w:rPr>
          <w:spacing w:val="-46"/>
          <w:sz w:val="24"/>
        </w:rPr>
        <w:t>，</w:t>
      </w:r>
      <w:r>
        <w:rPr>
          <w:sz w:val="24"/>
        </w:rPr>
        <w:t>劳务承 包方除本项前述约定承担责任外</w:t>
      </w:r>
      <w:r>
        <w:rPr>
          <w:spacing w:val="-48"/>
          <w:sz w:val="24"/>
        </w:rPr>
        <w:t>，</w:t>
      </w:r>
      <w:r>
        <w:rPr>
          <w:sz w:val="24"/>
        </w:rPr>
        <w:t>劳务承包方应退还劳务发包方已付款项</w:t>
      </w:r>
      <w:r>
        <w:rPr>
          <w:spacing w:val="-46"/>
          <w:sz w:val="24"/>
        </w:rPr>
        <w:t>，</w:t>
      </w:r>
      <w:r>
        <w:rPr>
          <w:sz w:val="24"/>
        </w:rPr>
        <w:t>赔偿 由此给劳务发包方造成的全部损失，劳务发包方有权终止合同。</w:t>
      </w:r>
    </w:p>
    <w:p>
      <w:pPr>
        <w:pStyle w:val="7"/>
        <w:numPr>
          <w:ilvl w:val="0"/>
          <w:numId w:val="0"/>
        </w:numPr>
        <w:tabs>
          <w:tab w:val="left" w:pos="1213"/>
        </w:tabs>
        <w:spacing w:before="0" w:after="0" w:line="364" w:lineRule="auto"/>
        <w:ind w:right="357" w:rightChars="0" w:firstLine="480" w:firstLineChars="200"/>
        <w:jc w:val="both"/>
        <w:rPr>
          <w:sz w:val="24"/>
        </w:rPr>
      </w:pPr>
      <w:r>
        <w:rPr>
          <w:rFonts w:hint="eastAsia"/>
          <w:sz w:val="24"/>
          <w:lang w:val="en-US" w:eastAsia="zh-CN"/>
        </w:rPr>
        <w:t>5.3.4</w:t>
      </w:r>
      <w:r>
        <w:rPr>
          <w:sz w:val="24"/>
        </w:rPr>
        <w:t>劳务承包方随意改变账户或出卖自身纳税人身份、纳税方式变化带来</w:t>
      </w:r>
      <w:r>
        <w:rPr>
          <w:spacing w:val="-9"/>
          <w:sz w:val="24"/>
        </w:rPr>
        <w:t>的适用增值税税率的变化，由此引起的延期付款责任及相关的损失由劳务承包方</w:t>
      </w:r>
      <w:r>
        <w:rPr>
          <w:sz w:val="24"/>
        </w:rPr>
        <w:t>承担。</w:t>
      </w:r>
    </w:p>
    <w:p>
      <w:pPr>
        <w:pStyle w:val="2"/>
        <w:spacing w:line="307" w:lineRule="exact"/>
      </w:pPr>
      <w:r>
        <w:t>三、工期要求</w:t>
      </w:r>
    </w:p>
    <w:p>
      <w:pPr>
        <w:pStyle w:val="3"/>
        <w:tabs>
          <w:tab w:val="left" w:pos="1259"/>
          <w:tab w:val="left" w:pos="2319"/>
          <w:tab w:val="left" w:pos="3039"/>
          <w:tab w:val="left" w:pos="3700"/>
          <w:tab w:val="left" w:pos="5063"/>
          <w:tab w:val="left" w:pos="5783"/>
          <w:tab w:val="left" w:pos="6503"/>
        </w:tabs>
        <w:spacing w:before="154" w:line="362" w:lineRule="auto"/>
        <w:ind w:right="301" w:firstLine="480"/>
      </w:pPr>
      <w:r>
        <w:t>1</w:t>
      </w:r>
      <w:r>
        <w:rPr>
          <w:spacing w:val="-20"/>
        </w:rPr>
        <w:t>、</w:t>
      </w:r>
      <w:r>
        <w:t>本工程自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日开工</w:t>
      </w:r>
      <w:r>
        <w:rPr>
          <w:spacing w:val="-17"/>
        </w:rPr>
        <w:t>，</w:t>
      </w:r>
      <w:r>
        <w:rPr>
          <w:spacing w:val="-17"/>
          <w:u w:val="single"/>
        </w:rPr>
        <w:t xml:space="preserve"> </w:t>
      </w:r>
      <w:r>
        <w:rPr>
          <w:spacing w:val="-17"/>
          <w:u w:val="single"/>
        </w:rPr>
        <w:tab/>
      </w:r>
      <w:r>
        <w:t>年</w:t>
      </w:r>
      <w:r>
        <w:rPr>
          <w:u w:val="single"/>
        </w:rPr>
        <w:t xml:space="preserve"> </w:t>
      </w:r>
      <w:r>
        <w:rPr>
          <w:u w:val="single"/>
        </w:rPr>
        <w:tab/>
      </w:r>
      <w:r>
        <w:t>月</w:t>
      </w:r>
      <w:r>
        <w:rPr>
          <w:u w:val="single"/>
        </w:rPr>
        <w:t xml:space="preserve"> </w:t>
      </w:r>
      <w:r>
        <w:rPr>
          <w:u w:val="single"/>
        </w:rPr>
        <w:tab/>
      </w:r>
      <w:r>
        <w:t>日分包工程竣工</w:t>
      </w:r>
      <w:r>
        <w:rPr>
          <w:spacing w:val="-18"/>
        </w:rPr>
        <w:t xml:space="preserve">， </w:t>
      </w:r>
      <w:r>
        <w:t>总工期</w:t>
      </w:r>
      <w:r>
        <w:rPr>
          <w:u w:val="single"/>
        </w:rPr>
        <w:t xml:space="preserve"> </w:t>
      </w:r>
      <w:r>
        <w:rPr>
          <w:u w:val="single"/>
        </w:rPr>
        <w:tab/>
      </w:r>
      <w:r>
        <w:t>天</w:t>
      </w:r>
      <w:r>
        <w:rPr>
          <w:spacing w:val="-120"/>
        </w:rPr>
        <w:t>。</w:t>
      </w:r>
      <w:r>
        <w:t>（可编辑或万年历）</w:t>
      </w:r>
    </w:p>
    <w:p>
      <w:pPr>
        <w:pStyle w:val="3"/>
        <w:tabs>
          <w:tab w:val="left" w:pos="2579"/>
        </w:tabs>
        <w:spacing w:before="5" w:line="364" w:lineRule="auto"/>
        <w:ind w:right="421" w:firstLine="480"/>
      </w:pPr>
      <w:r>
        <w:t>2</w:t>
      </w:r>
      <w:r>
        <w:rPr>
          <w:spacing w:val="-12"/>
        </w:rPr>
        <w:t>、</w:t>
      </w:r>
      <w:r>
        <w:t>主要施工节点</w:t>
      </w:r>
      <w:r>
        <w:rPr>
          <w:spacing w:val="-12"/>
        </w:rPr>
        <w:t>：</w:t>
      </w:r>
      <w:r>
        <w:t>为确保劳务发包方的总体进度计划</w:t>
      </w:r>
      <w:r>
        <w:rPr>
          <w:spacing w:val="-12"/>
        </w:rPr>
        <w:t>，</w:t>
      </w:r>
      <w:r>
        <w:t>正常施工时保证</w:t>
      </w:r>
      <w:r>
        <w:rPr>
          <w:spacing w:val="-19"/>
        </w:rPr>
        <w:t>技</w:t>
      </w:r>
      <w:r>
        <w:t>术工人人数不少于</w:t>
      </w:r>
      <w:r>
        <w:rPr>
          <w:u w:val="single"/>
        </w:rPr>
        <w:t xml:space="preserve"> </w:t>
      </w:r>
      <w:r>
        <w:rPr>
          <w:u w:val="single"/>
        </w:rPr>
        <w:tab/>
      </w:r>
      <w:r>
        <w:t>人</w:t>
      </w:r>
      <w:r>
        <w:rPr>
          <w:spacing w:val="-20"/>
        </w:rPr>
        <w:t>，</w:t>
      </w:r>
      <w:r>
        <w:t>按项目部排定的生产计划进度安排执行</w:t>
      </w:r>
      <w:r>
        <w:rPr>
          <w:spacing w:val="-17"/>
        </w:rPr>
        <w:t>，</w:t>
      </w:r>
      <w:r>
        <w:t>在工种</w:t>
      </w:r>
      <w:r>
        <w:rPr>
          <w:spacing w:val="-17"/>
        </w:rPr>
        <w:t>衔</w:t>
      </w:r>
      <w:r>
        <w:t>接上，必须服从劳务发包方的统一调度，劳务承包方无特殊原因造成工种衔接上的脱节，要赔偿一切由此造成的劳务发包方经济损失。具体计划工期如下：</w:t>
      </w:r>
    </w:p>
    <w:p>
      <w:pPr>
        <w:pStyle w:val="3"/>
        <w:spacing w:line="305" w:lineRule="exact"/>
        <w:ind w:left="611"/>
      </w:pPr>
      <w:r>
        <w:t>□20</w:t>
      </w:r>
      <w:r>
        <w:rPr>
          <w:u w:val="single"/>
        </w:rPr>
        <w:t xml:space="preserve"> </w:t>
      </w:r>
      <w:r>
        <w:t>年</w:t>
      </w:r>
      <w:r>
        <w:rPr>
          <w:u w:val="single"/>
        </w:rPr>
        <w:t xml:space="preserve"> </w:t>
      </w:r>
      <w:r>
        <w:t>月</w:t>
      </w:r>
      <w:r>
        <w:rPr>
          <w:u w:val="single"/>
        </w:rPr>
        <w:t xml:space="preserve"> </w:t>
      </w:r>
      <w:r>
        <w:t>日——20</w:t>
      </w:r>
      <w:r>
        <w:rPr>
          <w:u w:val="single"/>
        </w:rPr>
        <w:t xml:space="preserve"> </w:t>
      </w:r>
      <w:r>
        <w:t>年</w:t>
      </w:r>
      <w:r>
        <w:rPr>
          <w:u w:val="single"/>
        </w:rPr>
        <w:t xml:space="preserve"> </w:t>
      </w:r>
      <w:r>
        <w:t>月</w:t>
      </w:r>
      <w:r>
        <w:rPr>
          <w:u w:val="single"/>
        </w:rPr>
        <w:t xml:space="preserve"> </w:t>
      </w:r>
      <w:r>
        <w:t>日：完成基础筏板</w:t>
      </w:r>
    </w:p>
    <w:p>
      <w:pPr>
        <w:pStyle w:val="3"/>
        <w:spacing w:before="158"/>
        <w:ind w:left="611"/>
      </w:pPr>
      <w:r>
        <w:t>□20</w:t>
      </w:r>
      <w:r>
        <w:rPr>
          <w:u w:val="single"/>
        </w:rPr>
        <w:t xml:space="preserve"> </w:t>
      </w:r>
      <w:r>
        <w:t>年</w:t>
      </w:r>
      <w:r>
        <w:rPr>
          <w:u w:val="single"/>
        </w:rPr>
        <w:t xml:space="preserve"> </w:t>
      </w:r>
      <w:r>
        <w:t>月</w:t>
      </w:r>
      <w:r>
        <w:rPr>
          <w:u w:val="single"/>
        </w:rPr>
        <w:t xml:space="preserve"> </w:t>
      </w:r>
      <w:r>
        <w:t>日——20</w:t>
      </w:r>
      <w:r>
        <w:rPr>
          <w:u w:val="single"/>
        </w:rPr>
        <w:t xml:space="preserve"> </w:t>
      </w:r>
      <w:r>
        <w:t>年</w:t>
      </w:r>
      <w:r>
        <w:rPr>
          <w:u w:val="single"/>
        </w:rPr>
        <w:t xml:space="preserve"> </w:t>
      </w:r>
      <w:r>
        <w:t>月</w:t>
      </w:r>
      <w:r>
        <w:rPr>
          <w:u w:val="single"/>
        </w:rPr>
        <w:t xml:space="preserve"> </w:t>
      </w:r>
      <w:r>
        <w:t>日：完成基础筏板至±0.000</w:t>
      </w:r>
    </w:p>
    <w:p>
      <w:pPr>
        <w:pStyle w:val="3"/>
        <w:tabs>
          <w:tab w:val="left" w:pos="6971"/>
        </w:tabs>
        <w:spacing w:before="161"/>
        <w:ind w:left="611"/>
      </w:pPr>
      <w:r>
        <w:t>□20</w:t>
      </w:r>
      <w:r>
        <w:rPr>
          <w:u w:val="single"/>
        </w:rPr>
        <w:t xml:space="preserve">  </w:t>
      </w:r>
      <w:r>
        <w:t>年</w:t>
      </w:r>
      <w:r>
        <w:rPr>
          <w:u w:val="single"/>
        </w:rPr>
        <w:t xml:space="preserve">  </w:t>
      </w:r>
      <w:r>
        <w:t>月</w:t>
      </w:r>
      <w:r>
        <w:rPr>
          <w:u w:val="single"/>
        </w:rPr>
        <w:t xml:space="preserve">  </w:t>
      </w:r>
      <w:r>
        <w:t>日——20</w:t>
      </w:r>
      <w:r>
        <w:rPr>
          <w:u w:val="single"/>
        </w:rPr>
        <w:t xml:space="preserve">  </w:t>
      </w:r>
      <w:r>
        <w:t>年</w:t>
      </w:r>
      <w:r>
        <w:rPr>
          <w:u w:val="single"/>
        </w:rPr>
        <w:t xml:space="preserve">  </w:t>
      </w:r>
      <w:r>
        <w:t>月</w:t>
      </w:r>
      <w:r>
        <w:rPr>
          <w:u w:val="single"/>
        </w:rPr>
        <w:t xml:space="preserve">  </w:t>
      </w:r>
      <w:r>
        <w:t>日：完成±0.000至</w:t>
      </w:r>
      <w:r>
        <w:rPr>
          <w:u w:val="single"/>
        </w:rPr>
        <w:t xml:space="preserve"> </w:t>
      </w:r>
      <w:r>
        <w:rPr>
          <w:u w:val="single"/>
        </w:rPr>
        <w:tab/>
      </w:r>
      <w:r>
        <w:t>层顶板</w:t>
      </w:r>
    </w:p>
    <w:p>
      <w:pPr>
        <w:pStyle w:val="3"/>
        <w:tabs>
          <w:tab w:val="left" w:pos="5951"/>
        </w:tabs>
        <w:spacing w:before="160"/>
        <w:ind w:left="611"/>
      </w:pPr>
      <w:r>
        <w:t>□20</w:t>
      </w:r>
      <w:r>
        <w:rPr>
          <w:u w:val="single"/>
        </w:rPr>
        <w:t xml:space="preserve">  </w:t>
      </w:r>
      <w:r>
        <w:t>年</w:t>
      </w:r>
      <w:r>
        <w:rPr>
          <w:u w:val="single"/>
        </w:rPr>
        <w:t xml:space="preserve">  </w:t>
      </w:r>
      <w:r>
        <w:t>月</w:t>
      </w:r>
      <w:r>
        <w:rPr>
          <w:u w:val="single"/>
        </w:rPr>
        <w:t xml:space="preserve">  </w:t>
      </w:r>
      <w:r>
        <w:t>日——20</w:t>
      </w:r>
      <w:r>
        <w:rPr>
          <w:u w:val="single"/>
        </w:rPr>
        <w:t xml:space="preserve">  </w:t>
      </w:r>
      <w:r>
        <w:t>年</w:t>
      </w:r>
      <w:r>
        <w:rPr>
          <w:u w:val="single"/>
        </w:rPr>
        <w:t xml:space="preserve">  </w:t>
      </w:r>
      <w:r>
        <w:t>月</w:t>
      </w:r>
      <w:r>
        <w:rPr>
          <w:u w:val="single"/>
        </w:rPr>
        <w:t xml:space="preserve">  </w:t>
      </w:r>
      <w:r>
        <w:t>日：完成</w:t>
      </w:r>
      <w:r>
        <w:rPr>
          <w:u w:val="single"/>
        </w:rPr>
        <w:t xml:space="preserve"> </w:t>
      </w:r>
      <w:r>
        <w:rPr>
          <w:u w:val="single"/>
        </w:rPr>
        <w:tab/>
      </w:r>
      <w:r>
        <w:t>层至主体</w:t>
      </w:r>
    </w:p>
    <w:p>
      <w:pPr>
        <w:pStyle w:val="3"/>
        <w:spacing w:before="158" w:line="362" w:lineRule="auto"/>
        <w:ind w:right="357" w:firstLine="492"/>
      </w:pPr>
      <w:r>
        <w:t>□20</w:t>
      </w:r>
      <w:r>
        <w:rPr>
          <w:spacing w:val="120"/>
          <w:u w:val="single"/>
        </w:rPr>
        <w:t xml:space="preserve"> </w:t>
      </w:r>
      <w:r>
        <w:t>年</w:t>
      </w:r>
      <w:r>
        <w:rPr>
          <w:spacing w:val="120"/>
          <w:u w:val="single"/>
        </w:rPr>
        <w:t xml:space="preserve"> </w:t>
      </w:r>
      <w:r>
        <w:t>月</w:t>
      </w:r>
      <w:r>
        <w:rPr>
          <w:spacing w:val="120"/>
          <w:u w:val="single"/>
        </w:rPr>
        <w:t xml:space="preserve"> </w:t>
      </w:r>
      <w:r>
        <w:t>日——20</w:t>
      </w:r>
      <w:r>
        <w:rPr>
          <w:u w:val="single"/>
        </w:rPr>
        <w:t xml:space="preserve"> </w:t>
      </w:r>
      <w:r>
        <w:t>年</w:t>
      </w:r>
      <w:r>
        <w:rPr>
          <w:spacing w:val="120"/>
          <w:u w:val="single"/>
        </w:rPr>
        <w:t xml:space="preserve"> </w:t>
      </w:r>
      <w:r>
        <w:t>月</w:t>
      </w:r>
      <w:r>
        <w:rPr>
          <w:spacing w:val="120"/>
          <w:u w:val="single"/>
        </w:rPr>
        <w:t xml:space="preserve"> </w:t>
      </w:r>
      <w:r>
        <w:rPr>
          <w:spacing w:val="-12"/>
        </w:rPr>
        <w:t>日：完成出屋面电梯机房、风机房、水</w:t>
      </w:r>
      <w:r>
        <w:t>箱间及花架梁</w:t>
      </w:r>
    </w:p>
    <w:p>
      <w:pPr>
        <w:pStyle w:val="3"/>
        <w:tabs>
          <w:tab w:val="left" w:pos="8363"/>
        </w:tabs>
        <w:spacing w:before="5" w:line="362" w:lineRule="auto"/>
        <w:ind w:left="600" w:right="421"/>
        <w:rPr>
          <w:b/>
        </w:rPr>
      </w:pPr>
      <w:r>
        <w:t>□20</w:t>
      </w:r>
      <w:r>
        <w:rPr>
          <w:u w:val="single"/>
        </w:rPr>
        <w:t xml:space="preserve">  </w:t>
      </w:r>
      <w:r>
        <w:t>年</w:t>
      </w:r>
      <w:r>
        <w:rPr>
          <w:u w:val="single"/>
        </w:rPr>
        <w:t xml:space="preserve">  </w:t>
      </w:r>
      <w:r>
        <w:t>月</w:t>
      </w:r>
      <w:r>
        <w:rPr>
          <w:u w:val="single"/>
        </w:rPr>
        <w:t xml:space="preserve">  </w:t>
      </w:r>
      <w:r>
        <w:t>日——20</w:t>
      </w:r>
      <w:r>
        <w:rPr>
          <w:u w:val="single"/>
        </w:rPr>
        <w:t xml:space="preserve">  </w:t>
      </w:r>
      <w:r>
        <w:t>年</w:t>
      </w:r>
      <w:r>
        <w:rPr>
          <w:u w:val="single"/>
        </w:rPr>
        <w:t xml:space="preserve">  </w:t>
      </w:r>
      <w:r>
        <w:t>月</w:t>
      </w:r>
      <w:r>
        <w:rPr>
          <w:u w:val="single"/>
        </w:rPr>
        <w:t xml:space="preserve">  </w:t>
      </w:r>
      <w:r>
        <w:t>日：</w:t>
      </w:r>
      <w:r>
        <w:rPr>
          <w:u w:val="single"/>
        </w:rPr>
        <w:t>其他计划</w:t>
      </w:r>
      <w:r>
        <w:rPr>
          <w:u w:val="single"/>
        </w:rPr>
        <w:tab/>
      </w:r>
      <w:bookmarkStart w:id="0" w:name="四、质量要求"/>
      <w:bookmarkEnd w:id="0"/>
      <w:r>
        <w:t xml:space="preserve"> </w:t>
      </w:r>
      <w:r>
        <w:rPr>
          <w:b/>
        </w:rPr>
        <w:t>四、质量要求</w:t>
      </w:r>
    </w:p>
    <w:p>
      <w:pPr>
        <w:pStyle w:val="3"/>
        <w:spacing w:before="5" w:line="364" w:lineRule="auto"/>
        <w:ind w:right="385" w:firstLine="480"/>
      </w:pPr>
      <w:bookmarkStart w:id="1" w:name="1、质量目标：按照本工程签订的《建设施工合同》中关于工程质量的要求及施工单位对该"/>
      <w:bookmarkEnd w:id="1"/>
      <w:r>
        <w:t>1、质量目标：按照本工程签订的《建设施工合同》中关于工程质量的要求及施工单位对该工程规定的质量标准执行。</w:t>
      </w:r>
    </w:p>
    <w:p>
      <w:pPr>
        <w:spacing w:after="0" w:line="364" w:lineRule="auto"/>
        <w:sectPr>
          <w:pgSz w:w="11910" w:h="16840"/>
          <w:pgMar w:top="1380" w:right="1440" w:bottom="280" w:left="1680" w:header="720" w:footer="720" w:gutter="0"/>
          <w:cols w:space="720" w:num="1"/>
        </w:sectPr>
      </w:pPr>
    </w:p>
    <w:p>
      <w:pPr>
        <w:pStyle w:val="3"/>
        <w:spacing w:before="43"/>
        <w:ind w:left="600"/>
      </w:pPr>
      <w:bookmarkStart w:id="2" w:name="2、必须按照发包方的技术交底施工，其中："/>
      <w:bookmarkEnd w:id="2"/>
      <w:r>
        <w:t>2、必须按照发包方的技术交底施工，其中：</w:t>
      </w:r>
    </w:p>
    <w:p>
      <w:pPr>
        <w:pStyle w:val="2"/>
        <w:spacing w:before="160"/>
      </w:pPr>
      <w:bookmarkStart w:id="3" w:name="□钢筋工程施工规范标准："/>
      <w:bookmarkEnd w:id="3"/>
      <w:r>
        <w:t>□钢筋工程施工规范标准：</w:t>
      </w:r>
    </w:p>
    <w:p>
      <w:pPr>
        <w:pStyle w:val="7"/>
        <w:numPr>
          <w:ilvl w:val="0"/>
          <w:numId w:val="0"/>
        </w:numPr>
        <w:tabs>
          <w:tab w:val="left" w:pos="1201"/>
        </w:tabs>
        <w:spacing w:before="158" w:after="0" w:line="240" w:lineRule="auto"/>
        <w:ind w:left="600" w:leftChars="0" w:right="0" w:rightChars="0"/>
        <w:jc w:val="left"/>
        <w:rPr>
          <w:sz w:val="24"/>
        </w:rPr>
      </w:pPr>
      <w:bookmarkStart w:id="4" w:name="（1）GB50300-2013《建筑工程施工质量验收统一标准》；"/>
      <w:bookmarkEnd w:id="4"/>
      <w:bookmarkStart w:id="5" w:name="（1）GB50300-2013《建筑工程施工质量验收统一标准》；"/>
      <w:bookmarkEnd w:id="5"/>
      <w:r>
        <w:rPr>
          <w:rFonts w:hint="eastAsia"/>
          <w:sz w:val="24"/>
          <w:lang w:eastAsia="zh-CN"/>
        </w:rPr>
        <w:t>（</w:t>
      </w:r>
      <w:r>
        <w:rPr>
          <w:rFonts w:hint="eastAsia"/>
          <w:sz w:val="24"/>
          <w:lang w:val="en-US" w:eastAsia="zh-CN"/>
        </w:rPr>
        <w:t>1</w:t>
      </w:r>
      <w:r>
        <w:rPr>
          <w:rFonts w:hint="eastAsia"/>
          <w:sz w:val="24"/>
          <w:lang w:eastAsia="zh-CN"/>
        </w:rPr>
        <w:t>）</w:t>
      </w:r>
      <w:r>
        <w:rPr>
          <w:sz w:val="24"/>
        </w:rPr>
        <w:t>GB50300-2013</w:t>
      </w:r>
      <w:r>
        <w:rPr>
          <w:spacing w:val="-8"/>
          <w:sz w:val="24"/>
        </w:rPr>
        <w:t>《建筑工程施工质量验收统一标准》；</w:t>
      </w:r>
    </w:p>
    <w:p>
      <w:pPr>
        <w:pStyle w:val="7"/>
        <w:numPr>
          <w:ilvl w:val="0"/>
          <w:numId w:val="0"/>
        </w:numPr>
        <w:tabs>
          <w:tab w:val="left" w:pos="1201"/>
        </w:tabs>
        <w:spacing w:before="161" w:after="0" w:line="240" w:lineRule="auto"/>
        <w:ind w:left="600" w:leftChars="0" w:right="0" w:rightChars="0"/>
        <w:jc w:val="left"/>
        <w:rPr>
          <w:sz w:val="24"/>
        </w:rPr>
      </w:pPr>
      <w:bookmarkStart w:id="6" w:name="（2）GB50204-2015《混凝土结构工程施工质量规范》；"/>
      <w:bookmarkEnd w:id="6"/>
      <w:bookmarkStart w:id="7" w:name="（2）GB50204-2015《混凝土结构工程施工质量规范》；"/>
      <w:bookmarkEnd w:id="7"/>
      <w:r>
        <w:rPr>
          <w:rFonts w:hint="eastAsia"/>
          <w:sz w:val="24"/>
          <w:lang w:eastAsia="zh-CN"/>
        </w:rPr>
        <w:t>（</w:t>
      </w:r>
      <w:r>
        <w:rPr>
          <w:rFonts w:hint="eastAsia"/>
          <w:sz w:val="24"/>
          <w:lang w:val="en-US" w:eastAsia="zh-CN"/>
        </w:rPr>
        <w:t>2</w:t>
      </w:r>
      <w:r>
        <w:rPr>
          <w:rFonts w:hint="eastAsia"/>
          <w:sz w:val="24"/>
          <w:lang w:eastAsia="zh-CN"/>
        </w:rPr>
        <w:t>）</w:t>
      </w:r>
      <w:r>
        <w:rPr>
          <w:sz w:val="24"/>
        </w:rPr>
        <w:t>GB50204-2015</w:t>
      </w:r>
      <w:r>
        <w:rPr>
          <w:spacing w:val="-8"/>
          <w:sz w:val="24"/>
        </w:rPr>
        <w:t>《混凝土结构工程施工质量规范》；</w:t>
      </w:r>
    </w:p>
    <w:p>
      <w:pPr>
        <w:pStyle w:val="7"/>
        <w:numPr>
          <w:ilvl w:val="0"/>
          <w:numId w:val="0"/>
        </w:numPr>
        <w:tabs>
          <w:tab w:val="left" w:pos="1201"/>
        </w:tabs>
        <w:spacing w:before="158" w:after="0" w:line="240" w:lineRule="auto"/>
        <w:ind w:left="600" w:leftChars="0" w:right="0" w:rightChars="0"/>
        <w:jc w:val="left"/>
        <w:rPr>
          <w:sz w:val="24"/>
        </w:rPr>
      </w:pPr>
      <w:bookmarkStart w:id="8" w:name="（3）JGJ18-2012《钢筋焊接及验收规程》；"/>
      <w:bookmarkEnd w:id="8"/>
      <w:bookmarkStart w:id="9" w:name="（3）JGJ18-2012《钢筋焊接及验收规程》；"/>
      <w:bookmarkEnd w:id="9"/>
      <w:r>
        <w:rPr>
          <w:rFonts w:hint="eastAsia"/>
          <w:sz w:val="24"/>
          <w:lang w:eastAsia="zh-CN"/>
        </w:rPr>
        <w:t>（</w:t>
      </w:r>
      <w:r>
        <w:rPr>
          <w:rFonts w:hint="eastAsia"/>
          <w:sz w:val="24"/>
          <w:lang w:val="en-US" w:eastAsia="zh-CN"/>
        </w:rPr>
        <w:t>3</w:t>
      </w:r>
      <w:r>
        <w:rPr>
          <w:rFonts w:hint="eastAsia"/>
          <w:sz w:val="24"/>
          <w:lang w:eastAsia="zh-CN"/>
        </w:rPr>
        <w:t>）</w:t>
      </w:r>
      <w:r>
        <w:rPr>
          <w:sz w:val="24"/>
        </w:rPr>
        <w:t>JGJ18-2012</w:t>
      </w:r>
      <w:r>
        <w:rPr>
          <w:spacing w:val="-11"/>
          <w:sz w:val="24"/>
        </w:rPr>
        <w:t>《钢筋焊接及验收规程》；</w:t>
      </w:r>
    </w:p>
    <w:p>
      <w:pPr>
        <w:pStyle w:val="3"/>
        <w:spacing w:before="160"/>
        <w:ind w:left="600"/>
      </w:pPr>
      <w:bookmarkStart w:id="10" w:name="（4）钢筋的绑扎、制作、连接必须满足（16G101—1）、（16G101—2）、"/>
      <w:bookmarkEnd w:id="10"/>
      <w:r>
        <w:t>（4</w:t>
      </w:r>
      <w:r>
        <w:rPr>
          <w:spacing w:val="-77"/>
        </w:rPr>
        <w:t>）</w:t>
      </w:r>
      <w:r>
        <w:rPr>
          <w:spacing w:val="-19"/>
        </w:rPr>
        <w:t>钢筋的绑扎、制作、连接必须满足</w:t>
      </w:r>
      <w:r>
        <w:t>（16G101—1</w:t>
      </w:r>
      <w:r>
        <w:rPr>
          <w:spacing w:val="-120"/>
        </w:rPr>
        <w:t>）</w:t>
      </w:r>
      <w:r>
        <w:rPr>
          <w:spacing w:val="-197"/>
        </w:rPr>
        <w:t>、</w:t>
      </w:r>
      <w:r>
        <w:t>（16G101—2</w:t>
      </w:r>
      <w:r>
        <w:rPr>
          <w:spacing w:val="-120"/>
        </w:rPr>
        <w:t>）</w:t>
      </w:r>
      <w:r>
        <w:rPr>
          <w:spacing w:val="-195"/>
        </w:rPr>
        <w:t>、</w:t>
      </w:r>
      <w:r>
        <w:rPr>
          <w:spacing w:val="-1"/>
        </w:rPr>
        <w:t>（</w:t>
      </w:r>
      <w:r>
        <w:t>16G101</w:t>
      </w:r>
    </w:p>
    <w:p>
      <w:pPr>
        <w:pStyle w:val="3"/>
        <w:spacing w:before="159"/>
      </w:pPr>
      <w:r>
        <w:t>—3）的规定；</w:t>
      </w:r>
    </w:p>
    <w:p>
      <w:pPr>
        <w:pStyle w:val="7"/>
        <w:numPr>
          <w:ilvl w:val="0"/>
          <w:numId w:val="0"/>
        </w:numPr>
        <w:tabs>
          <w:tab w:val="left" w:pos="1201"/>
        </w:tabs>
        <w:spacing w:before="160" w:after="0" w:line="364" w:lineRule="auto"/>
        <w:ind w:right="237" w:rightChars="0" w:firstLine="624" w:firstLineChars="300"/>
        <w:jc w:val="left"/>
        <w:rPr>
          <w:sz w:val="24"/>
        </w:rPr>
      </w:pPr>
      <w:bookmarkStart w:id="11" w:name="（5）电弧焊所采用的焊条，其性能应符合现行国家标准《碳钢焊条》（GB5117）或"/>
      <w:bookmarkEnd w:id="11"/>
      <w:bookmarkStart w:id="12" w:name="（5）电弧焊所采用的焊条，其性能应符合现行国家标准《碳钢焊条》（GB5117）或"/>
      <w:bookmarkEnd w:id="12"/>
      <w:r>
        <w:rPr>
          <w:rFonts w:hint="eastAsia"/>
          <w:spacing w:val="-16"/>
          <w:sz w:val="24"/>
          <w:lang w:eastAsia="zh-CN"/>
        </w:rPr>
        <w:t>（</w:t>
      </w:r>
      <w:r>
        <w:rPr>
          <w:rFonts w:hint="eastAsia"/>
          <w:spacing w:val="-16"/>
          <w:sz w:val="24"/>
          <w:lang w:val="en-US" w:eastAsia="zh-CN"/>
        </w:rPr>
        <w:t>5</w:t>
      </w:r>
      <w:r>
        <w:rPr>
          <w:rFonts w:hint="eastAsia"/>
          <w:spacing w:val="-16"/>
          <w:sz w:val="24"/>
          <w:lang w:eastAsia="zh-CN"/>
        </w:rPr>
        <w:t>）</w:t>
      </w:r>
      <w:r>
        <w:rPr>
          <w:spacing w:val="-16"/>
          <w:sz w:val="24"/>
        </w:rPr>
        <w:t>电弧焊所采用的焊条，其性能应符合现行国家标准《碳钢焊条</w:t>
      </w:r>
      <w:r>
        <w:rPr>
          <w:spacing w:val="-233"/>
          <w:sz w:val="24"/>
        </w:rPr>
        <w:t>》</w:t>
      </w:r>
      <w:r>
        <w:rPr>
          <w:spacing w:val="-3"/>
          <w:sz w:val="24"/>
        </w:rPr>
        <w:t>（GB5117）</w:t>
      </w:r>
      <w:r>
        <w:rPr>
          <w:spacing w:val="-14"/>
          <w:sz w:val="24"/>
        </w:rPr>
        <w:t>或《低合金钢焊条》</w:t>
      </w:r>
      <w:r>
        <w:rPr>
          <w:sz w:val="24"/>
        </w:rPr>
        <w:t>（GB5118）的规定；</w:t>
      </w:r>
    </w:p>
    <w:p>
      <w:pPr>
        <w:pStyle w:val="7"/>
        <w:numPr>
          <w:ilvl w:val="0"/>
          <w:numId w:val="0"/>
        </w:numPr>
        <w:tabs>
          <w:tab w:val="left" w:pos="1201"/>
        </w:tabs>
        <w:spacing w:before="0" w:after="0" w:line="306" w:lineRule="exact"/>
        <w:ind w:left="600" w:leftChars="0" w:right="0" w:rightChars="0"/>
        <w:jc w:val="left"/>
        <w:rPr>
          <w:sz w:val="24"/>
        </w:rPr>
      </w:pPr>
      <w:bookmarkStart w:id="13" w:name="（6）电渣压力焊的焊剂必须采用HJ431型，焊接必须满足焊接规范。"/>
      <w:bookmarkEnd w:id="13"/>
      <w:bookmarkStart w:id="14" w:name="（6）电渣压力焊的焊剂必须采用HJ431型，焊接必须满足焊接规范。"/>
      <w:bookmarkEnd w:id="14"/>
      <w:r>
        <w:rPr>
          <w:rFonts w:hint="eastAsia"/>
          <w:spacing w:val="-5"/>
          <w:sz w:val="24"/>
          <w:lang w:eastAsia="zh-CN"/>
        </w:rPr>
        <w:t>（</w:t>
      </w:r>
      <w:r>
        <w:rPr>
          <w:rFonts w:hint="eastAsia"/>
          <w:spacing w:val="-5"/>
          <w:sz w:val="24"/>
          <w:lang w:val="en-US" w:eastAsia="zh-CN"/>
        </w:rPr>
        <w:t>6</w:t>
      </w:r>
      <w:r>
        <w:rPr>
          <w:rFonts w:hint="eastAsia"/>
          <w:spacing w:val="-5"/>
          <w:sz w:val="24"/>
          <w:lang w:eastAsia="zh-CN"/>
        </w:rPr>
        <w:t>）</w:t>
      </w:r>
      <w:r>
        <w:rPr>
          <w:spacing w:val="-5"/>
          <w:sz w:val="24"/>
        </w:rPr>
        <w:t xml:space="preserve">电渣压力焊的焊剂必须采用 </w:t>
      </w:r>
      <w:r>
        <w:rPr>
          <w:sz w:val="24"/>
        </w:rPr>
        <w:t>HJ431</w:t>
      </w:r>
      <w:r>
        <w:rPr>
          <w:spacing w:val="-8"/>
          <w:sz w:val="24"/>
        </w:rPr>
        <w:t xml:space="preserve"> 型，焊接必须满足焊接规范。</w:t>
      </w:r>
    </w:p>
    <w:p>
      <w:pPr>
        <w:pStyle w:val="7"/>
        <w:numPr>
          <w:ilvl w:val="0"/>
          <w:numId w:val="0"/>
        </w:numPr>
        <w:tabs>
          <w:tab w:val="left" w:pos="1201"/>
        </w:tabs>
        <w:spacing w:before="158" w:after="0" w:line="240" w:lineRule="auto"/>
        <w:ind w:left="600" w:leftChars="0" w:right="0" w:rightChars="0"/>
        <w:jc w:val="both"/>
        <w:rPr>
          <w:sz w:val="24"/>
        </w:rPr>
      </w:pPr>
      <w:bookmarkStart w:id="15" w:name="（7）采用20#以下铅丝绑扎钢筋时必须用双股铅丝绑扎。"/>
      <w:bookmarkEnd w:id="15"/>
      <w:bookmarkStart w:id="16" w:name="（7）采用20#以下铅丝绑扎钢筋时必须用双股铅丝绑扎。"/>
      <w:bookmarkEnd w:id="16"/>
      <w:r>
        <w:rPr>
          <w:rFonts w:hint="eastAsia"/>
          <w:spacing w:val="-20"/>
          <w:sz w:val="24"/>
          <w:lang w:eastAsia="zh-CN"/>
        </w:rPr>
        <w:t>（</w:t>
      </w:r>
      <w:r>
        <w:rPr>
          <w:rFonts w:hint="eastAsia"/>
          <w:spacing w:val="-20"/>
          <w:sz w:val="24"/>
          <w:lang w:val="en-US" w:eastAsia="zh-CN"/>
        </w:rPr>
        <w:t>7</w:t>
      </w:r>
      <w:r>
        <w:rPr>
          <w:rFonts w:hint="eastAsia"/>
          <w:spacing w:val="-20"/>
          <w:sz w:val="24"/>
          <w:lang w:eastAsia="zh-CN"/>
        </w:rPr>
        <w:t>）</w:t>
      </w:r>
      <w:r>
        <w:rPr>
          <w:spacing w:val="-20"/>
          <w:sz w:val="24"/>
        </w:rPr>
        <w:t xml:space="preserve">采用 </w:t>
      </w:r>
      <w:r>
        <w:rPr>
          <w:sz w:val="24"/>
        </w:rPr>
        <w:t>20#以下铅丝绑扎钢筋时必须用双股铅丝绑扎。</w:t>
      </w:r>
    </w:p>
    <w:p>
      <w:pPr>
        <w:pStyle w:val="7"/>
        <w:numPr>
          <w:ilvl w:val="0"/>
          <w:numId w:val="0"/>
        </w:numPr>
        <w:tabs>
          <w:tab w:val="left" w:pos="1201"/>
        </w:tabs>
        <w:spacing w:before="161" w:after="0" w:line="364" w:lineRule="auto"/>
        <w:ind w:right="357" w:rightChars="0" w:firstLine="600" w:firstLineChars="300"/>
        <w:jc w:val="both"/>
        <w:rPr>
          <w:sz w:val="24"/>
        </w:rPr>
      </w:pPr>
      <w:bookmarkStart w:id="17" w:name="（8）严格按料单下料，控制下料长度，合理利用材料，严格控制材料的损耗率；绑扎钢筋"/>
      <w:bookmarkEnd w:id="17"/>
      <w:bookmarkStart w:id="18" w:name="（8）严格按料单下料，控制下料长度，合理利用材料，严格控制材料的损耗率；绑扎钢筋"/>
      <w:bookmarkEnd w:id="18"/>
      <w:r>
        <w:rPr>
          <w:rFonts w:hint="eastAsia"/>
          <w:spacing w:val="-20"/>
          <w:sz w:val="24"/>
          <w:lang w:eastAsia="zh-CN"/>
        </w:rPr>
        <w:t>（</w:t>
      </w:r>
      <w:r>
        <w:rPr>
          <w:rFonts w:hint="eastAsia"/>
          <w:spacing w:val="-20"/>
          <w:sz w:val="24"/>
          <w:lang w:val="en-US" w:eastAsia="zh-CN"/>
        </w:rPr>
        <w:t>8</w:t>
      </w:r>
      <w:r>
        <w:rPr>
          <w:rFonts w:hint="eastAsia"/>
          <w:spacing w:val="-20"/>
          <w:sz w:val="24"/>
          <w:lang w:eastAsia="zh-CN"/>
        </w:rPr>
        <w:t>）</w:t>
      </w:r>
      <w:r>
        <w:rPr>
          <w:sz w:val="24"/>
        </w:rPr>
        <w:t>严格按料单下料，控制下料长度，合理利用材料，严格控制材料的损</w:t>
      </w:r>
      <w:r>
        <w:rPr>
          <w:spacing w:val="-12"/>
          <w:sz w:val="24"/>
        </w:rPr>
        <w:t>耗率；绑扎钢筋时，应抄平放线，按图纸设计要求摆放钢筋，认真检查校对钢筋</w:t>
      </w:r>
      <w:r>
        <w:rPr>
          <w:sz w:val="24"/>
        </w:rPr>
        <w:t>的等级、规格、数量及位置。</w:t>
      </w:r>
    </w:p>
    <w:p>
      <w:pPr>
        <w:pStyle w:val="7"/>
        <w:numPr>
          <w:ilvl w:val="0"/>
          <w:numId w:val="0"/>
        </w:numPr>
        <w:tabs>
          <w:tab w:val="left" w:pos="1201"/>
        </w:tabs>
        <w:spacing w:before="0" w:after="0" w:line="364" w:lineRule="auto"/>
        <w:ind w:right="357" w:rightChars="0" w:firstLine="600" w:firstLineChars="300"/>
        <w:jc w:val="left"/>
        <w:rPr>
          <w:sz w:val="24"/>
        </w:rPr>
      </w:pPr>
      <w:bookmarkStart w:id="19" w:name="（9）钢筋分项工程施工完成后，承包方必须自检，合格率不低于90%，再通知项目部相"/>
      <w:bookmarkEnd w:id="19"/>
      <w:bookmarkStart w:id="20" w:name="（9）钢筋分项工程施工完成后，承包方必须自检，合格率不低于90%，再通知项目部相"/>
      <w:bookmarkEnd w:id="20"/>
      <w:r>
        <w:rPr>
          <w:rFonts w:hint="eastAsia" w:eastAsiaTheme="minorHAnsi"/>
          <w:spacing w:val="-20"/>
          <w:sz w:val="24"/>
          <w:lang w:eastAsia="zh-CN"/>
        </w:rPr>
        <w:t>（</w:t>
      </w:r>
      <w:r>
        <w:rPr>
          <w:rFonts w:hint="eastAsia"/>
          <w:sz w:val="24"/>
          <w:lang w:val="en-US" w:eastAsia="zh-CN"/>
        </w:rPr>
        <w:t>9</w:t>
      </w:r>
      <w:r>
        <w:rPr>
          <w:rFonts w:hint="eastAsia" w:eastAsiaTheme="minorHAnsi"/>
          <w:spacing w:val="-20"/>
          <w:sz w:val="24"/>
          <w:lang w:eastAsia="zh-CN"/>
        </w:rPr>
        <w:t>）</w:t>
      </w:r>
      <w:r>
        <w:rPr>
          <w:spacing w:val="-3"/>
          <w:sz w:val="24"/>
        </w:rPr>
        <w:t xml:space="preserve">钢筋分项工程施工完成后，承包方必须自检，合格率不低于 </w:t>
      </w:r>
      <w:r>
        <w:rPr>
          <w:sz w:val="24"/>
        </w:rPr>
        <w:t>90%，再</w:t>
      </w:r>
      <w:r>
        <w:rPr>
          <w:spacing w:val="-7"/>
          <w:sz w:val="24"/>
        </w:rPr>
        <w:t>通知项目部相关人员验收。验收合格后填写工序交接检查记录。配合项目部做好技术复核和分项工程质量验收工作，对项目部、监理等相关人员提出的问题及时</w:t>
      </w:r>
      <w:r>
        <w:rPr>
          <w:sz w:val="24"/>
        </w:rPr>
        <w:t>整改。</w:t>
      </w:r>
    </w:p>
    <w:p>
      <w:pPr>
        <w:pStyle w:val="2"/>
        <w:spacing w:line="305" w:lineRule="exact"/>
      </w:pPr>
      <w:bookmarkStart w:id="21" w:name="□木工工程施工规范标准："/>
      <w:bookmarkEnd w:id="21"/>
      <w:r>
        <w:t>□木工工程施工规范标准：</w:t>
      </w:r>
    </w:p>
    <w:p>
      <w:pPr>
        <w:pStyle w:val="7"/>
        <w:numPr>
          <w:ilvl w:val="0"/>
          <w:numId w:val="0"/>
        </w:numPr>
        <w:tabs>
          <w:tab w:val="left" w:pos="1201"/>
        </w:tabs>
        <w:spacing w:before="157" w:after="0" w:line="240" w:lineRule="auto"/>
        <w:ind w:right="0" w:rightChars="0" w:firstLine="480" w:firstLineChars="200"/>
        <w:jc w:val="left"/>
        <w:rPr>
          <w:sz w:val="24"/>
        </w:rPr>
      </w:pPr>
      <w:bookmarkStart w:id="22" w:name="（1）GB50300-2013《建筑工程施工质量验收统一标准》；"/>
      <w:bookmarkEnd w:id="22"/>
      <w:bookmarkStart w:id="23" w:name="（1）GB50300-2013《建筑工程施工质量验收统一标准》；"/>
      <w:bookmarkEnd w:id="23"/>
      <w:r>
        <w:rPr>
          <w:rFonts w:hint="eastAsia"/>
          <w:sz w:val="24"/>
        </w:rPr>
        <w:t>（</w:t>
      </w:r>
      <w:r>
        <w:rPr>
          <w:rFonts w:hint="eastAsia"/>
          <w:sz w:val="24"/>
          <w:lang w:val="en-US" w:eastAsia="zh-CN"/>
        </w:rPr>
        <w:t>1</w:t>
      </w:r>
      <w:r>
        <w:rPr>
          <w:rFonts w:hint="eastAsia"/>
          <w:sz w:val="24"/>
        </w:rPr>
        <w:t>）</w:t>
      </w:r>
      <w:r>
        <w:rPr>
          <w:sz w:val="24"/>
        </w:rPr>
        <w:t>GB50300-2013</w:t>
      </w:r>
      <w:r>
        <w:rPr>
          <w:spacing w:val="-8"/>
          <w:sz w:val="24"/>
        </w:rPr>
        <w:t>《建筑工程施工质量验收统一标准》；</w:t>
      </w:r>
    </w:p>
    <w:p>
      <w:pPr>
        <w:pStyle w:val="7"/>
        <w:numPr>
          <w:ilvl w:val="0"/>
          <w:numId w:val="0"/>
        </w:numPr>
        <w:tabs>
          <w:tab w:val="left" w:pos="1201"/>
        </w:tabs>
        <w:spacing w:before="161" w:after="0" w:line="240" w:lineRule="auto"/>
        <w:ind w:right="0" w:rightChars="0" w:firstLine="480" w:firstLineChars="200"/>
        <w:jc w:val="left"/>
        <w:rPr>
          <w:sz w:val="24"/>
        </w:rPr>
      </w:pPr>
      <w:bookmarkStart w:id="24" w:name="（2）GB50204-2015《混凝土结构工程施工质量规范》；"/>
      <w:bookmarkEnd w:id="24"/>
      <w:bookmarkStart w:id="25" w:name="（2）GB50204-2015《混凝土结构工程施工质量规范》；"/>
      <w:bookmarkEnd w:id="25"/>
      <w:r>
        <w:rPr>
          <w:rFonts w:hint="eastAsia"/>
          <w:sz w:val="24"/>
        </w:rPr>
        <w:t>（</w:t>
      </w:r>
      <w:r>
        <w:rPr>
          <w:rFonts w:hint="eastAsia"/>
          <w:sz w:val="24"/>
          <w:lang w:val="en-US" w:eastAsia="zh-CN"/>
        </w:rPr>
        <w:t>2</w:t>
      </w:r>
      <w:r>
        <w:rPr>
          <w:rFonts w:hint="eastAsia"/>
          <w:sz w:val="24"/>
        </w:rPr>
        <w:t>）</w:t>
      </w:r>
      <w:r>
        <w:rPr>
          <w:sz w:val="24"/>
        </w:rPr>
        <w:t>GB50204-2015</w:t>
      </w:r>
      <w:r>
        <w:rPr>
          <w:spacing w:val="-8"/>
          <w:sz w:val="24"/>
        </w:rPr>
        <w:t>《混凝土结构工程施工质量规范》；</w:t>
      </w:r>
    </w:p>
    <w:p>
      <w:pPr>
        <w:pStyle w:val="7"/>
        <w:numPr>
          <w:ilvl w:val="0"/>
          <w:numId w:val="0"/>
        </w:numPr>
        <w:tabs>
          <w:tab w:val="left" w:pos="1201"/>
        </w:tabs>
        <w:spacing w:before="158" w:after="0" w:line="364" w:lineRule="auto"/>
        <w:ind w:right="385" w:rightChars="0" w:firstLine="480" w:firstLineChars="200"/>
        <w:jc w:val="both"/>
        <w:rPr>
          <w:sz w:val="24"/>
        </w:rPr>
      </w:pPr>
      <w:bookmarkStart w:id="26" w:name="（3）必须按照发包方编制的模板支撑体系方案施工（如高支模剪刀撑、后浇带、大跨度模"/>
      <w:bookmarkEnd w:id="26"/>
      <w:bookmarkStart w:id="27" w:name="（3）必须按照发包方编制的模板支撑体系方案施工（如高支模剪刀撑、后浇带、大跨度模"/>
      <w:bookmarkEnd w:id="27"/>
      <w:r>
        <w:rPr>
          <w:rFonts w:hint="eastAsia"/>
          <w:sz w:val="24"/>
        </w:rPr>
        <w:t>（</w:t>
      </w:r>
      <w:r>
        <w:rPr>
          <w:rFonts w:hint="eastAsia"/>
          <w:sz w:val="24"/>
          <w:lang w:val="en-US" w:eastAsia="zh-CN"/>
        </w:rPr>
        <w:t>3</w:t>
      </w:r>
      <w:r>
        <w:rPr>
          <w:rFonts w:hint="eastAsia"/>
          <w:sz w:val="24"/>
        </w:rPr>
        <w:t>）</w:t>
      </w:r>
      <w:r>
        <w:rPr>
          <w:sz w:val="24"/>
        </w:rPr>
        <w:t>必须按照发包方编制的模板支撑体系方案施工（</w:t>
      </w:r>
      <w:r>
        <w:rPr>
          <w:spacing w:val="-3"/>
          <w:sz w:val="24"/>
        </w:rPr>
        <w:t>如高支模剪刀撑、后</w:t>
      </w:r>
      <w:r>
        <w:rPr>
          <w:sz w:val="24"/>
        </w:rPr>
        <w:t>浇带、大跨度模板早拆体系等</w:t>
      </w:r>
      <w:r>
        <w:rPr>
          <w:spacing w:val="-120"/>
          <w:sz w:val="24"/>
        </w:rPr>
        <w:t>）</w:t>
      </w:r>
      <w:r>
        <w:rPr>
          <w:spacing w:val="-1"/>
          <w:sz w:val="24"/>
        </w:rPr>
        <w:t>，木工作业必须按照模板施工方案作业，如果不</w:t>
      </w:r>
      <w:r>
        <w:rPr>
          <w:sz w:val="24"/>
        </w:rPr>
        <w:t>按方案施工，合同单价降低 元/m</w:t>
      </w:r>
      <w:r>
        <w:rPr>
          <w:position w:val="12"/>
          <w:sz w:val="12"/>
        </w:rPr>
        <w:t>2</w:t>
      </w:r>
      <w:r>
        <w:rPr>
          <w:sz w:val="24"/>
        </w:rPr>
        <w:t>；</w:t>
      </w:r>
    </w:p>
    <w:p>
      <w:pPr>
        <w:pStyle w:val="7"/>
        <w:numPr>
          <w:ilvl w:val="0"/>
          <w:numId w:val="0"/>
        </w:numPr>
        <w:tabs>
          <w:tab w:val="left" w:pos="1201"/>
        </w:tabs>
        <w:spacing w:before="0" w:after="0" w:line="364" w:lineRule="auto"/>
        <w:ind w:right="265" w:rightChars="0" w:firstLine="480" w:firstLineChars="200"/>
        <w:jc w:val="left"/>
        <w:rPr>
          <w:sz w:val="24"/>
        </w:rPr>
      </w:pPr>
      <w:bookmarkStart w:id="28" w:name="（4）必须保证构件的截面尺寸、平整度、垂直度：墙、梁、柱节点处必须达到质量要求。"/>
      <w:bookmarkEnd w:id="28"/>
      <w:bookmarkStart w:id="29" w:name="（4）必须保证构件的截面尺寸、平整度、垂直度：墙、梁、柱节点处必须达到质量要求。"/>
      <w:bookmarkEnd w:id="29"/>
      <w:r>
        <w:rPr>
          <w:rFonts w:hint="eastAsia"/>
          <w:sz w:val="24"/>
        </w:rPr>
        <w:t>（</w:t>
      </w:r>
      <w:r>
        <w:rPr>
          <w:rFonts w:hint="eastAsia"/>
          <w:sz w:val="24"/>
          <w:lang w:val="en-US" w:eastAsia="zh-CN"/>
        </w:rPr>
        <w:t>4</w:t>
      </w:r>
      <w:r>
        <w:rPr>
          <w:rFonts w:hint="eastAsia"/>
          <w:sz w:val="24"/>
        </w:rPr>
        <w:t>）</w:t>
      </w:r>
      <w:r>
        <w:rPr>
          <w:sz w:val="24"/>
        </w:rPr>
        <w:t>必须保证构件的截面尺寸、平整度、垂直度：墙、梁、柱节点处必须</w:t>
      </w:r>
      <w:r>
        <w:rPr>
          <w:spacing w:val="-1"/>
          <w:sz w:val="24"/>
        </w:rPr>
        <w:t>达到质量要求。模板拼缝必须严密，加贴双面胶；阴阳角必须方正；模板加固、</w:t>
      </w:r>
      <w:r>
        <w:rPr>
          <w:spacing w:val="-7"/>
          <w:sz w:val="24"/>
        </w:rPr>
        <w:t>支撑必须牢固可靠。模板作业范围内锯沫、夹渣、扣件等必须清理干净，拆模后不得出现跑模、夹渣、漏浆等现象。</w:t>
      </w:r>
    </w:p>
    <w:p>
      <w:pPr>
        <w:pStyle w:val="2"/>
        <w:spacing w:line="305" w:lineRule="exact"/>
      </w:pPr>
      <w:bookmarkStart w:id="30" w:name="□砼工程施工规范标准："/>
      <w:bookmarkEnd w:id="30"/>
      <w:r>
        <w:t>□砼工程施工规范标准：</w:t>
      </w:r>
    </w:p>
    <w:p>
      <w:pPr>
        <w:pStyle w:val="7"/>
        <w:numPr>
          <w:ilvl w:val="0"/>
          <w:numId w:val="0"/>
        </w:numPr>
        <w:tabs>
          <w:tab w:val="left" w:pos="1201"/>
        </w:tabs>
        <w:spacing w:before="160" w:after="0" w:line="240" w:lineRule="auto"/>
        <w:ind w:right="0" w:rightChars="0" w:firstLine="480" w:firstLineChars="200"/>
        <w:jc w:val="left"/>
        <w:rPr>
          <w:sz w:val="24"/>
        </w:rPr>
      </w:pPr>
      <w:bookmarkStart w:id="31" w:name="（1）GB50300-2013《建筑工程施工质量验收统一标准》；"/>
      <w:bookmarkEnd w:id="31"/>
      <w:bookmarkStart w:id="32" w:name="（1）GB50300-2013《建筑工程施工质量验收统一标准》；"/>
      <w:bookmarkEnd w:id="32"/>
      <w:r>
        <w:rPr>
          <w:rFonts w:hint="eastAsia"/>
          <w:sz w:val="24"/>
        </w:rPr>
        <w:t>（</w:t>
      </w:r>
      <w:r>
        <w:rPr>
          <w:rFonts w:hint="eastAsia"/>
          <w:sz w:val="24"/>
          <w:lang w:val="en-US" w:eastAsia="zh-CN"/>
        </w:rPr>
        <w:t>1</w:t>
      </w:r>
      <w:r>
        <w:rPr>
          <w:rFonts w:hint="eastAsia"/>
          <w:sz w:val="24"/>
        </w:rPr>
        <w:t>）</w:t>
      </w:r>
      <w:r>
        <w:rPr>
          <w:sz w:val="24"/>
        </w:rPr>
        <w:t>GB50300-2013</w:t>
      </w:r>
      <w:r>
        <w:rPr>
          <w:spacing w:val="-8"/>
          <w:sz w:val="24"/>
        </w:rPr>
        <w:t>《建筑工程施工质量验收统一标准》；</w:t>
      </w:r>
    </w:p>
    <w:p>
      <w:pPr>
        <w:spacing w:after="0" w:line="240" w:lineRule="auto"/>
        <w:jc w:val="left"/>
        <w:rPr>
          <w:sz w:val="24"/>
        </w:rPr>
        <w:sectPr>
          <w:pgSz w:w="11910" w:h="16840"/>
          <w:pgMar w:top="1380" w:right="1440" w:bottom="280" w:left="1680" w:header="720" w:footer="720" w:gutter="0"/>
          <w:cols w:space="720" w:num="1"/>
        </w:sectPr>
      </w:pPr>
    </w:p>
    <w:p>
      <w:pPr>
        <w:pStyle w:val="7"/>
        <w:numPr>
          <w:ilvl w:val="0"/>
          <w:numId w:val="0"/>
        </w:numPr>
        <w:tabs>
          <w:tab w:val="left" w:pos="1201"/>
        </w:tabs>
        <w:spacing w:before="43" w:after="0" w:line="240" w:lineRule="auto"/>
        <w:ind w:right="0" w:rightChars="0" w:firstLine="480" w:firstLineChars="200"/>
        <w:jc w:val="left"/>
        <w:rPr>
          <w:sz w:val="24"/>
        </w:rPr>
      </w:pPr>
      <w:bookmarkStart w:id="33" w:name="（2）GB50204-2015《混凝土结构工程施工质量规范》；"/>
      <w:bookmarkEnd w:id="33"/>
      <w:bookmarkStart w:id="34" w:name="（2）GB50204-2015《混凝土结构工程施工质量规范》；"/>
      <w:bookmarkEnd w:id="34"/>
      <w:r>
        <w:rPr>
          <w:rFonts w:hint="eastAsia"/>
          <w:sz w:val="24"/>
        </w:rPr>
        <w:t>（</w:t>
      </w:r>
      <w:r>
        <w:rPr>
          <w:rFonts w:hint="eastAsia"/>
          <w:sz w:val="24"/>
          <w:lang w:val="en-US" w:eastAsia="zh-CN"/>
        </w:rPr>
        <w:t>2</w:t>
      </w:r>
      <w:r>
        <w:rPr>
          <w:rFonts w:hint="eastAsia"/>
          <w:sz w:val="24"/>
        </w:rPr>
        <w:t>）</w:t>
      </w:r>
      <w:r>
        <w:rPr>
          <w:sz w:val="24"/>
        </w:rPr>
        <w:t>GB50204-2015</w:t>
      </w:r>
      <w:r>
        <w:rPr>
          <w:spacing w:val="-8"/>
          <w:sz w:val="24"/>
        </w:rPr>
        <w:t>《混凝土结构工程施工质量规范》；</w:t>
      </w:r>
    </w:p>
    <w:p>
      <w:pPr>
        <w:pStyle w:val="7"/>
        <w:numPr>
          <w:ilvl w:val="0"/>
          <w:numId w:val="0"/>
        </w:numPr>
        <w:tabs>
          <w:tab w:val="left" w:pos="1201"/>
        </w:tabs>
        <w:spacing w:before="160" w:after="0" w:line="240" w:lineRule="auto"/>
        <w:ind w:right="0" w:rightChars="0" w:firstLine="480" w:firstLineChars="200"/>
        <w:jc w:val="left"/>
        <w:rPr>
          <w:sz w:val="24"/>
        </w:rPr>
      </w:pPr>
      <w:bookmarkStart w:id="35" w:name="（3）GB50496-2009《大体积混凝土施工施工规范》；"/>
      <w:bookmarkEnd w:id="35"/>
      <w:bookmarkStart w:id="36" w:name="（3）GB50496-2009《大体积混凝土施工施工规范》；"/>
      <w:bookmarkEnd w:id="36"/>
      <w:r>
        <w:rPr>
          <w:rFonts w:hint="eastAsia"/>
          <w:sz w:val="24"/>
        </w:rPr>
        <w:t>（</w:t>
      </w:r>
      <w:r>
        <w:rPr>
          <w:rFonts w:hint="eastAsia"/>
          <w:sz w:val="24"/>
          <w:lang w:val="en-US" w:eastAsia="zh-CN"/>
        </w:rPr>
        <w:t>3</w:t>
      </w:r>
      <w:r>
        <w:rPr>
          <w:rFonts w:hint="eastAsia"/>
          <w:sz w:val="24"/>
        </w:rPr>
        <w:t>）</w:t>
      </w:r>
      <w:r>
        <w:rPr>
          <w:sz w:val="24"/>
        </w:rPr>
        <w:t>GB50496-2009</w:t>
      </w:r>
      <w:r>
        <w:rPr>
          <w:spacing w:val="-9"/>
          <w:sz w:val="24"/>
        </w:rPr>
        <w:t>《大体积混凝土施工施工规范》；</w:t>
      </w:r>
    </w:p>
    <w:p>
      <w:pPr>
        <w:pStyle w:val="7"/>
        <w:numPr>
          <w:ilvl w:val="0"/>
          <w:numId w:val="0"/>
        </w:numPr>
        <w:tabs>
          <w:tab w:val="left" w:pos="1201"/>
        </w:tabs>
        <w:spacing w:before="158" w:after="0" w:line="240" w:lineRule="auto"/>
        <w:ind w:right="0" w:rightChars="0" w:firstLine="480" w:firstLineChars="200"/>
        <w:jc w:val="left"/>
        <w:rPr>
          <w:sz w:val="24"/>
        </w:rPr>
      </w:pPr>
      <w:bookmarkStart w:id="37" w:name="（4）GB50666-2011《混凝土结构工程施工规范》；"/>
      <w:bookmarkEnd w:id="37"/>
      <w:bookmarkStart w:id="38" w:name="（4）GB50666-2011《混凝土结构工程施工规范》；"/>
      <w:bookmarkEnd w:id="38"/>
      <w:r>
        <w:rPr>
          <w:rFonts w:hint="eastAsia"/>
          <w:sz w:val="24"/>
        </w:rPr>
        <w:t>（</w:t>
      </w:r>
      <w:r>
        <w:rPr>
          <w:rFonts w:hint="eastAsia"/>
          <w:sz w:val="24"/>
          <w:lang w:val="en-US" w:eastAsia="zh-CN"/>
        </w:rPr>
        <w:t>4</w:t>
      </w:r>
      <w:r>
        <w:rPr>
          <w:rFonts w:hint="eastAsia"/>
          <w:sz w:val="24"/>
        </w:rPr>
        <w:t>）</w:t>
      </w:r>
      <w:r>
        <w:rPr>
          <w:sz w:val="24"/>
        </w:rPr>
        <w:t>GB50666-2011</w:t>
      </w:r>
      <w:r>
        <w:rPr>
          <w:spacing w:val="-10"/>
          <w:sz w:val="24"/>
        </w:rPr>
        <w:t>《混凝土结构工程施工规范》；</w:t>
      </w:r>
    </w:p>
    <w:p>
      <w:pPr>
        <w:pStyle w:val="7"/>
        <w:numPr>
          <w:ilvl w:val="0"/>
          <w:numId w:val="0"/>
        </w:numPr>
        <w:tabs>
          <w:tab w:val="left" w:pos="1201"/>
        </w:tabs>
        <w:spacing w:before="161" w:after="0" w:line="240" w:lineRule="auto"/>
        <w:ind w:right="0" w:rightChars="0" w:firstLine="480" w:firstLineChars="200"/>
        <w:jc w:val="left"/>
        <w:rPr>
          <w:sz w:val="24"/>
        </w:rPr>
      </w:pPr>
      <w:bookmarkStart w:id="39" w:name="（5）DB62/T25-3023-2005《混凝土工程施工工艺规程》。"/>
      <w:bookmarkEnd w:id="39"/>
      <w:bookmarkStart w:id="40" w:name="（5）DB62/T25-3023-2005《混凝土工程施工工艺规程》。"/>
      <w:bookmarkEnd w:id="40"/>
      <w:r>
        <w:rPr>
          <w:rFonts w:hint="eastAsia"/>
          <w:sz w:val="24"/>
        </w:rPr>
        <w:t>（</w:t>
      </w:r>
      <w:r>
        <w:rPr>
          <w:rFonts w:hint="eastAsia"/>
          <w:sz w:val="24"/>
          <w:lang w:val="en-US" w:eastAsia="zh-CN"/>
        </w:rPr>
        <w:t>5</w:t>
      </w:r>
      <w:r>
        <w:rPr>
          <w:rFonts w:hint="eastAsia"/>
          <w:sz w:val="24"/>
        </w:rPr>
        <w:t>）</w:t>
      </w:r>
      <w:r>
        <w:rPr>
          <w:sz w:val="24"/>
        </w:rPr>
        <w:t>DB62/T25-3023-2005</w:t>
      </w:r>
      <w:r>
        <w:rPr>
          <w:spacing w:val="-10"/>
          <w:sz w:val="24"/>
        </w:rPr>
        <w:t>《混凝土工程施工工艺规程》。</w:t>
      </w:r>
    </w:p>
    <w:p>
      <w:pPr>
        <w:pStyle w:val="7"/>
        <w:numPr>
          <w:ilvl w:val="0"/>
          <w:numId w:val="0"/>
        </w:numPr>
        <w:tabs>
          <w:tab w:val="left" w:pos="1201"/>
        </w:tabs>
        <w:spacing w:before="158" w:after="0" w:line="364" w:lineRule="auto"/>
        <w:ind w:right="357" w:rightChars="0" w:firstLine="480" w:firstLineChars="200"/>
        <w:jc w:val="both"/>
        <w:rPr>
          <w:sz w:val="24"/>
        </w:rPr>
      </w:pPr>
      <w:bookmarkStart w:id="41" w:name="（6）砼浇筑振捣必须密实，不能有蜂窝麻面，严禁出现漏筋、孔洞、过振或漏振现象，表"/>
      <w:bookmarkEnd w:id="41"/>
      <w:bookmarkStart w:id="42" w:name="（6）砼浇筑振捣必须密实，不能有蜂窝麻面，严禁出现漏筋、孔洞、过振或漏振现象，表"/>
      <w:bookmarkEnd w:id="42"/>
      <w:r>
        <w:rPr>
          <w:rFonts w:hint="eastAsia"/>
          <w:sz w:val="24"/>
        </w:rPr>
        <w:t>（</w:t>
      </w:r>
      <w:r>
        <w:rPr>
          <w:rFonts w:hint="eastAsia"/>
          <w:sz w:val="24"/>
          <w:lang w:val="en-US" w:eastAsia="zh-CN"/>
        </w:rPr>
        <w:t>6</w:t>
      </w:r>
      <w:r>
        <w:rPr>
          <w:rFonts w:hint="eastAsia"/>
          <w:sz w:val="24"/>
        </w:rPr>
        <w:t>）</w:t>
      </w:r>
      <w:r>
        <w:rPr>
          <w:sz w:val="24"/>
        </w:rPr>
        <w:t>砼浇筑振捣必须密实，不能有蜂窝麻面，严禁出现漏筋、孔洞、过振</w:t>
      </w:r>
      <w:r>
        <w:rPr>
          <w:spacing w:val="-11"/>
          <w:sz w:val="24"/>
        </w:rPr>
        <w:t>或漏振现象，表面平整，成型良好且达到验收标准，所浇筑的楼面厚度以及混凝</w:t>
      </w:r>
      <w:r>
        <w:rPr>
          <w:spacing w:val="-7"/>
          <w:sz w:val="24"/>
        </w:rPr>
        <w:t>土表面的平整度符合要求。楼板面混凝土面要求为拉毛，做到纹路大小一致，均</w:t>
      </w:r>
      <w:r>
        <w:rPr>
          <w:spacing w:val="-10"/>
          <w:sz w:val="24"/>
        </w:rPr>
        <w:t>匀，顺直部允许出现大面积的色差、裂缝。凝土养护时必须派专人养护，养护时</w:t>
      </w:r>
      <w:r>
        <w:rPr>
          <w:sz w:val="24"/>
        </w:rPr>
        <w:t>间符合规范的要求。</w:t>
      </w:r>
    </w:p>
    <w:p>
      <w:pPr>
        <w:pStyle w:val="7"/>
        <w:numPr>
          <w:ilvl w:val="0"/>
          <w:numId w:val="0"/>
        </w:numPr>
        <w:tabs>
          <w:tab w:val="left" w:pos="1201"/>
        </w:tabs>
        <w:spacing w:before="0" w:after="0" w:line="364" w:lineRule="auto"/>
        <w:ind w:right="265" w:rightChars="0" w:firstLine="480" w:firstLineChars="200"/>
        <w:jc w:val="left"/>
        <w:rPr>
          <w:sz w:val="24"/>
        </w:rPr>
      </w:pPr>
      <w:bookmarkStart w:id="43" w:name="（7）砼构件浇筑完成后，观感质量到不到规范要求及出现砼缺陷，需进行修补的，发生的"/>
      <w:bookmarkEnd w:id="43"/>
      <w:bookmarkStart w:id="44" w:name="（7）砼构件浇筑完成后，观感质量到不到规范要求及出现砼缺陷，需进行修补的，发生的"/>
      <w:bookmarkEnd w:id="44"/>
      <w:r>
        <w:rPr>
          <w:rFonts w:hint="eastAsia"/>
          <w:sz w:val="24"/>
        </w:rPr>
        <w:t>（7）</w:t>
      </w:r>
      <w:r>
        <w:rPr>
          <w:sz w:val="24"/>
        </w:rPr>
        <w:t>砼构件浇筑完成后，观感质量到不到规范要求及出现砼缺陷，需进行</w:t>
      </w:r>
      <w:r>
        <w:rPr>
          <w:spacing w:val="-1"/>
          <w:sz w:val="24"/>
        </w:rPr>
        <w:t xml:space="preserve">修补的，发生的人工费、材料费均由承包方项目劳务负责人及所属劳务队承担， </w:t>
      </w:r>
      <w:r>
        <w:rPr>
          <w:sz w:val="24"/>
        </w:rPr>
        <w:t>并按照项目部相应规定进行处罚。</w:t>
      </w:r>
    </w:p>
    <w:p>
      <w:pPr>
        <w:pStyle w:val="2"/>
        <w:spacing w:line="307" w:lineRule="exact"/>
      </w:pPr>
      <w:bookmarkStart w:id="45" w:name="□粉刷工程施工规范标准："/>
      <w:bookmarkEnd w:id="45"/>
      <w:r>
        <w:t>□粉刷工程施工规范标准：</w:t>
      </w:r>
    </w:p>
    <w:p>
      <w:pPr>
        <w:pStyle w:val="7"/>
        <w:numPr>
          <w:ilvl w:val="0"/>
          <w:numId w:val="0"/>
        </w:numPr>
        <w:tabs>
          <w:tab w:val="left" w:pos="1201"/>
        </w:tabs>
        <w:spacing w:before="156" w:after="0" w:line="240" w:lineRule="auto"/>
        <w:ind w:right="0" w:rightChars="0" w:firstLine="480" w:firstLineChars="200"/>
        <w:jc w:val="left"/>
        <w:rPr>
          <w:sz w:val="24"/>
        </w:rPr>
      </w:pPr>
      <w:bookmarkStart w:id="46" w:name="（1）GB50210-2001《建筑装饰装修工程施工验收规范》；"/>
      <w:bookmarkEnd w:id="46"/>
      <w:bookmarkStart w:id="47" w:name="（1）GB50210-2001《建筑装饰装修工程施工验收规范》；"/>
      <w:bookmarkEnd w:id="47"/>
      <w:r>
        <w:rPr>
          <w:rFonts w:hint="eastAsia"/>
          <w:sz w:val="24"/>
        </w:rPr>
        <w:t>（</w:t>
      </w:r>
      <w:r>
        <w:rPr>
          <w:rFonts w:hint="eastAsia"/>
          <w:sz w:val="24"/>
          <w:lang w:val="en-US" w:eastAsia="zh-CN"/>
        </w:rPr>
        <w:t>1</w:t>
      </w:r>
      <w:r>
        <w:rPr>
          <w:rFonts w:hint="eastAsia"/>
          <w:sz w:val="24"/>
        </w:rPr>
        <w:t>）</w:t>
      </w:r>
      <w:r>
        <w:rPr>
          <w:sz w:val="24"/>
        </w:rPr>
        <w:t>GB50210-2001</w:t>
      </w:r>
      <w:r>
        <w:rPr>
          <w:spacing w:val="-8"/>
          <w:sz w:val="24"/>
        </w:rPr>
        <w:t>《建筑装饰装修工程施工验收规范》；</w:t>
      </w:r>
    </w:p>
    <w:p>
      <w:pPr>
        <w:pStyle w:val="7"/>
        <w:numPr>
          <w:ilvl w:val="0"/>
          <w:numId w:val="0"/>
        </w:numPr>
        <w:tabs>
          <w:tab w:val="left" w:pos="1201"/>
        </w:tabs>
        <w:spacing w:before="161" w:after="0" w:line="240" w:lineRule="auto"/>
        <w:ind w:right="0" w:rightChars="0" w:firstLine="480" w:firstLineChars="200"/>
        <w:jc w:val="left"/>
        <w:rPr>
          <w:sz w:val="24"/>
        </w:rPr>
      </w:pPr>
      <w:bookmarkStart w:id="48" w:name="（2）GB50300-2013《建筑工程施工质量验收统一标准》；"/>
      <w:bookmarkEnd w:id="48"/>
      <w:bookmarkStart w:id="49" w:name="（2）GB50300-2013《建筑工程施工质量验收统一标准》；"/>
      <w:bookmarkEnd w:id="49"/>
      <w:r>
        <w:rPr>
          <w:rFonts w:hint="eastAsia"/>
          <w:sz w:val="24"/>
        </w:rPr>
        <w:t>（</w:t>
      </w:r>
      <w:r>
        <w:rPr>
          <w:rFonts w:hint="eastAsia"/>
          <w:sz w:val="24"/>
          <w:lang w:val="en-US" w:eastAsia="zh-CN"/>
        </w:rPr>
        <w:t>2</w:t>
      </w:r>
      <w:r>
        <w:rPr>
          <w:rFonts w:hint="eastAsia"/>
          <w:sz w:val="24"/>
        </w:rPr>
        <w:t>）</w:t>
      </w:r>
      <w:r>
        <w:rPr>
          <w:sz w:val="24"/>
        </w:rPr>
        <w:t>GB50300-2013</w:t>
      </w:r>
      <w:r>
        <w:rPr>
          <w:spacing w:val="-8"/>
          <w:sz w:val="24"/>
        </w:rPr>
        <w:t>《建筑工程施工质量验收统一标准》；</w:t>
      </w:r>
    </w:p>
    <w:p>
      <w:pPr>
        <w:pStyle w:val="7"/>
        <w:numPr>
          <w:ilvl w:val="0"/>
          <w:numId w:val="0"/>
        </w:numPr>
        <w:tabs>
          <w:tab w:val="left" w:pos="1201"/>
        </w:tabs>
        <w:spacing w:before="158" w:after="0" w:line="240" w:lineRule="auto"/>
        <w:ind w:right="0" w:rightChars="0" w:firstLine="480" w:firstLineChars="200"/>
        <w:jc w:val="left"/>
        <w:rPr>
          <w:sz w:val="24"/>
        </w:rPr>
      </w:pPr>
      <w:bookmarkStart w:id="50" w:name="（3）DB62/T25-3026-2005《建筑装饰装修工程施工工艺规程》；"/>
      <w:bookmarkEnd w:id="50"/>
      <w:bookmarkStart w:id="51" w:name="（3）DB62/T25-3026-2005《建筑装饰装修工程施工工艺规程》；"/>
      <w:bookmarkEnd w:id="51"/>
      <w:r>
        <w:rPr>
          <w:rFonts w:hint="eastAsia"/>
          <w:sz w:val="24"/>
        </w:rPr>
        <w:t>（</w:t>
      </w:r>
      <w:r>
        <w:rPr>
          <w:rFonts w:hint="eastAsia"/>
          <w:sz w:val="24"/>
          <w:lang w:val="en-US" w:eastAsia="zh-CN"/>
        </w:rPr>
        <w:t>3</w:t>
      </w:r>
      <w:r>
        <w:rPr>
          <w:rFonts w:hint="eastAsia"/>
          <w:sz w:val="24"/>
        </w:rPr>
        <w:t>）</w:t>
      </w:r>
      <w:r>
        <w:rPr>
          <w:sz w:val="24"/>
        </w:rPr>
        <w:t>DB62/T25-3026-2005</w:t>
      </w:r>
      <w:r>
        <w:rPr>
          <w:spacing w:val="-8"/>
          <w:sz w:val="24"/>
        </w:rPr>
        <w:t>《建筑装饰装修工程施工工艺规程》；</w:t>
      </w:r>
    </w:p>
    <w:p>
      <w:pPr>
        <w:pStyle w:val="7"/>
        <w:numPr>
          <w:ilvl w:val="0"/>
          <w:numId w:val="0"/>
        </w:numPr>
        <w:tabs>
          <w:tab w:val="left" w:pos="1201"/>
        </w:tabs>
        <w:spacing w:before="160" w:after="0" w:line="362" w:lineRule="auto"/>
        <w:ind w:right="385" w:rightChars="0" w:firstLine="476" w:firstLineChars="200"/>
        <w:jc w:val="left"/>
        <w:rPr>
          <w:sz w:val="24"/>
        </w:rPr>
      </w:pPr>
      <w:bookmarkStart w:id="52" w:name="（4）按照相关技术操作规程及图纸设计要求，保证粉刷质量合格，不得违反施工操作规范"/>
      <w:bookmarkEnd w:id="52"/>
      <w:bookmarkStart w:id="53" w:name="（4）按照相关技术操作规程及图纸设计要求，保证粉刷质量合格，不得违反施工操作规范"/>
      <w:bookmarkEnd w:id="53"/>
      <w:r>
        <w:rPr>
          <w:rFonts w:hint="eastAsia"/>
          <w:spacing w:val="-1"/>
          <w:sz w:val="24"/>
        </w:rPr>
        <w:t>（</w:t>
      </w:r>
      <w:r>
        <w:rPr>
          <w:rFonts w:hint="eastAsia"/>
          <w:spacing w:val="-1"/>
          <w:sz w:val="24"/>
          <w:lang w:val="en-US" w:eastAsia="zh-CN"/>
        </w:rPr>
        <w:t>4</w:t>
      </w:r>
      <w:r>
        <w:rPr>
          <w:rFonts w:hint="eastAsia"/>
          <w:spacing w:val="-1"/>
          <w:sz w:val="24"/>
        </w:rPr>
        <w:t>）</w:t>
      </w:r>
      <w:r>
        <w:rPr>
          <w:spacing w:val="-1"/>
          <w:sz w:val="24"/>
        </w:rPr>
        <w:t>按照相关技术操作规程及图纸设计要求，保证粉刷质量合格，不得违</w:t>
      </w:r>
      <w:r>
        <w:rPr>
          <w:sz w:val="24"/>
        </w:rPr>
        <w:t>反施工操作规范，严格按施工工艺标准施工；</w:t>
      </w:r>
    </w:p>
    <w:p>
      <w:pPr>
        <w:pStyle w:val="7"/>
        <w:numPr>
          <w:ilvl w:val="0"/>
          <w:numId w:val="0"/>
        </w:numPr>
        <w:tabs>
          <w:tab w:val="left" w:pos="1201"/>
        </w:tabs>
        <w:spacing w:before="5" w:after="0" w:line="364" w:lineRule="auto"/>
        <w:ind w:right="357" w:rightChars="0" w:firstLine="480" w:firstLineChars="200"/>
        <w:jc w:val="both"/>
        <w:rPr>
          <w:sz w:val="24"/>
        </w:rPr>
      </w:pPr>
      <w:bookmarkStart w:id="54" w:name="（5）粉刷质量必须保证合格，达不到质量要求不合格的粉刷人工费不予结算、材料费按实"/>
      <w:bookmarkEnd w:id="54"/>
      <w:bookmarkStart w:id="55" w:name="（5）粉刷质量必须保证合格，达不到质量要求不合格的粉刷人工费不予结算、材料费按实"/>
      <w:bookmarkEnd w:id="55"/>
      <w:r>
        <w:rPr>
          <w:rFonts w:hint="eastAsia"/>
          <w:sz w:val="24"/>
        </w:rPr>
        <w:t>（</w:t>
      </w:r>
      <w:r>
        <w:rPr>
          <w:rFonts w:hint="eastAsia"/>
          <w:sz w:val="24"/>
          <w:lang w:val="en-US" w:eastAsia="zh-CN"/>
        </w:rPr>
        <w:t>5</w:t>
      </w:r>
      <w:r>
        <w:rPr>
          <w:rFonts w:hint="eastAsia"/>
          <w:sz w:val="24"/>
        </w:rPr>
        <w:t>）</w:t>
      </w:r>
      <w:r>
        <w:rPr>
          <w:sz w:val="24"/>
        </w:rPr>
        <w:t>粉刷质量必须保证合格，达不到质量要求不合格的粉刷人工费不予结</w:t>
      </w:r>
      <w:r>
        <w:rPr>
          <w:spacing w:val="-10"/>
          <w:sz w:val="24"/>
        </w:rPr>
        <w:t>算、材料费按实际单价乘以不合格粉刷量翻倍予以扣除；重新粉刷待达到质量要</w:t>
      </w:r>
      <w:r>
        <w:rPr>
          <w:spacing w:val="-11"/>
          <w:sz w:val="24"/>
        </w:rPr>
        <w:t>求时，按实际粉刷量进行结算，且拆除不合格粉刷层及垃圾外运费用均由承包方</w:t>
      </w:r>
      <w:r>
        <w:rPr>
          <w:sz w:val="24"/>
        </w:rPr>
        <w:t>项目劳务负责人承担；</w:t>
      </w:r>
    </w:p>
    <w:p>
      <w:pPr>
        <w:pStyle w:val="7"/>
        <w:numPr>
          <w:ilvl w:val="0"/>
          <w:numId w:val="0"/>
        </w:numPr>
        <w:tabs>
          <w:tab w:val="left" w:pos="1201"/>
        </w:tabs>
        <w:spacing w:before="0" w:after="0" w:line="364" w:lineRule="auto"/>
        <w:ind w:right="385" w:rightChars="0" w:firstLine="476" w:firstLineChars="200"/>
        <w:jc w:val="left"/>
        <w:rPr>
          <w:sz w:val="24"/>
        </w:rPr>
      </w:pPr>
      <w:bookmarkStart w:id="56" w:name="（6）必须按照发包方的技术交底施工，保证墙面垂直、平整、观感优良、阴阳角顺直、细"/>
      <w:bookmarkEnd w:id="56"/>
      <w:bookmarkStart w:id="57" w:name="（6）必须按照发包方的技术交底施工，保证墙面垂直、平整、观感优良、阴阳角顺直、细"/>
      <w:bookmarkEnd w:id="57"/>
      <w:r>
        <w:rPr>
          <w:rFonts w:hint="eastAsia"/>
          <w:spacing w:val="-1"/>
          <w:sz w:val="24"/>
        </w:rPr>
        <w:t>（</w:t>
      </w:r>
      <w:r>
        <w:rPr>
          <w:rFonts w:hint="eastAsia"/>
          <w:spacing w:val="-1"/>
          <w:sz w:val="24"/>
          <w:lang w:val="en-US" w:eastAsia="zh-CN"/>
        </w:rPr>
        <w:t>6</w:t>
      </w:r>
      <w:r>
        <w:rPr>
          <w:rFonts w:hint="eastAsia"/>
          <w:spacing w:val="-1"/>
          <w:sz w:val="24"/>
        </w:rPr>
        <w:t>）</w:t>
      </w:r>
      <w:r>
        <w:rPr>
          <w:spacing w:val="-1"/>
          <w:sz w:val="24"/>
        </w:rPr>
        <w:t>必须按照发包方的技术交底施工，保证墙面垂直、平整、观感优良、</w:t>
      </w:r>
      <w:r>
        <w:rPr>
          <w:sz w:val="24"/>
        </w:rPr>
        <w:t>阴阳角顺直、细部处理精细。</w:t>
      </w:r>
    </w:p>
    <w:p>
      <w:pPr>
        <w:pStyle w:val="2"/>
        <w:spacing w:line="306" w:lineRule="exact"/>
      </w:pPr>
      <w:bookmarkStart w:id="58" w:name="□油漆工程施工规范标准："/>
      <w:bookmarkEnd w:id="58"/>
      <w:r>
        <w:t>□油漆工程施工规范标准：</w:t>
      </w:r>
    </w:p>
    <w:p>
      <w:pPr>
        <w:pStyle w:val="7"/>
        <w:numPr>
          <w:ilvl w:val="0"/>
          <w:numId w:val="1"/>
        </w:numPr>
        <w:tabs>
          <w:tab w:val="left" w:pos="1203"/>
        </w:tabs>
        <w:spacing w:before="156" w:after="0" w:line="240" w:lineRule="auto"/>
        <w:ind w:left="1202" w:right="0" w:hanging="603"/>
        <w:jc w:val="left"/>
        <w:rPr>
          <w:sz w:val="22"/>
        </w:rPr>
      </w:pPr>
      <w:bookmarkStart w:id="59" w:name="（1）GB50210-2001《建筑装饰装修工程施工验收规范》；"/>
      <w:bookmarkEnd w:id="59"/>
      <w:bookmarkStart w:id="60" w:name="（1）GB50210-2001《建筑装饰装修工程施工验收规范》；"/>
      <w:bookmarkEnd w:id="60"/>
      <w:r>
        <w:rPr>
          <w:sz w:val="24"/>
        </w:rPr>
        <w:t>GB50210-2001</w:t>
      </w:r>
      <w:r>
        <w:rPr>
          <w:spacing w:val="-8"/>
          <w:sz w:val="24"/>
        </w:rPr>
        <w:t>《建筑装饰装修工程施工验收规范》；</w:t>
      </w:r>
    </w:p>
    <w:p>
      <w:pPr>
        <w:pStyle w:val="7"/>
        <w:numPr>
          <w:ilvl w:val="0"/>
          <w:numId w:val="1"/>
        </w:numPr>
        <w:tabs>
          <w:tab w:val="left" w:pos="1201"/>
        </w:tabs>
        <w:spacing w:before="160" w:after="0" w:line="240" w:lineRule="auto"/>
        <w:ind w:left="1201" w:right="0" w:hanging="601"/>
        <w:jc w:val="left"/>
        <w:rPr>
          <w:sz w:val="22"/>
        </w:rPr>
      </w:pPr>
      <w:bookmarkStart w:id="61" w:name="（2）GB50300-2013《建筑工程施工质量验收统一标准》；"/>
      <w:bookmarkEnd w:id="61"/>
      <w:bookmarkStart w:id="62" w:name="（2）GB50300-2013《建筑工程施工质量验收统一标准》；"/>
      <w:bookmarkEnd w:id="62"/>
      <w:r>
        <w:rPr>
          <w:sz w:val="24"/>
        </w:rPr>
        <w:t>GB50300-2013</w:t>
      </w:r>
      <w:r>
        <w:rPr>
          <w:spacing w:val="-8"/>
          <w:sz w:val="24"/>
        </w:rPr>
        <w:t>《建筑工程施工质量验收统一标准》；</w:t>
      </w:r>
    </w:p>
    <w:p>
      <w:pPr>
        <w:pStyle w:val="7"/>
        <w:numPr>
          <w:ilvl w:val="0"/>
          <w:numId w:val="1"/>
        </w:numPr>
        <w:tabs>
          <w:tab w:val="left" w:pos="1201"/>
        </w:tabs>
        <w:spacing w:before="159" w:after="0" w:line="364" w:lineRule="auto"/>
        <w:ind w:left="120" w:right="357" w:firstLine="480"/>
        <w:jc w:val="both"/>
        <w:rPr>
          <w:sz w:val="22"/>
        </w:rPr>
      </w:pPr>
      <w:bookmarkStart w:id="63" w:name="（3）按照相关技术操作规程及图纸设计要求，保证油漆及涂料质量合格，不得违反施工操"/>
      <w:bookmarkEnd w:id="63"/>
      <w:bookmarkStart w:id="64" w:name="（3）按照相关技术操作规程及图纸设计要求，保证油漆及涂料质量合格，不得违反施工操"/>
      <w:bookmarkEnd w:id="64"/>
      <w:r>
        <w:rPr>
          <w:sz w:val="24"/>
        </w:rPr>
        <w:t xml:space="preserve">按照相关技术操作规程及图纸设计要求，保证油漆及涂料质量合格， </w:t>
      </w:r>
      <w:r>
        <w:rPr>
          <w:spacing w:val="-8"/>
          <w:sz w:val="24"/>
        </w:rPr>
        <w:t>不得违反施工操作规范，严格按施工工艺标准施工。油漆及涂料质量必须保证合</w:t>
      </w:r>
      <w:r>
        <w:rPr>
          <w:spacing w:val="-10"/>
          <w:sz w:val="24"/>
        </w:rPr>
        <w:t>格，达不到质量要求不合格的不予结算，重新施工待达到质量要求时，按实际完</w:t>
      </w:r>
    </w:p>
    <w:p>
      <w:pPr>
        <w:spacing w:after="0" w:line="364" w:lineRule="auto"/>
        <w:jc w:val="both"/>
        <w:rPr>
          <w:sz w:val="22"/>
        </w:rPr>
        <w:sectPr>
          <w:pgSz w:w="11910" w:h="16840"/>
          <w:pgMar w:top="1380" w:right="1440" w:bottom="280" w:left="1680" w:header="720" w:footer="720" w:gutter="0"/>
          <w:cols w:space="720" w:num="1"/>
        </w:sectPr>
      </w:pPr>
    </w:p>
    <w:p>
      <w:pPr>
        <w:pStyle w:val="3"/>
        <w:spacing w:before="43" w:line="364" w:lineRule="auto"/>
        <w:ind w:right="357"/>
      </w:pPr>
      <w:r>
        <w:rPr>
          <w:spacing w:val="-8"/>
        </w:rPr>
        <w:t>成合格工程量进行结算，且由此产生的清洁清扫、垃圾外运费用均由承包方项目</w:t>
      </w:r>
      <w:r>
        <w:t>劳务负责人承担；</w:t>
      </w:r>
    </w:p>
    <w:p>
      <w:pPr>
        <w:pStyle w:val="7"/>
        <w:numPr>
          <w:ilvl w:val="0"/>
          <w:numId w:val="1"/>
        </w:numPr>
        <w:tabs>
          <w:tab w:val="left" w:pos="1201"/>
        </w:tabs>
        <w:spacing w:before="0" w:after="0" w:line="364" w:lineRule="auto"/>
        <w:ind w:left="120" w:right="237" w:firstLine="480"/>
        <w:jc w:val="left"/>
        <w:rPr>
          <w:sz w:val="22"/>
        </w:rPr>
      </w:pPr>
      <w:bookmarkStart w:id="65" w:name="（4）必须按照发包方的技术交底施工，保证墙面垂直、平整、观感优良、阴阳角顺直、细"/>
      <w:bookmarkEnd w:id="65"/>
      <w:bookmarkStart w:id="66" w:name="（4）必须按照发包方的技术交底施工，保证墙面垂直、平整、观感优良、阴阳角顺直、细"/>
      <w:bookmarkEnd w:id="66"/>
      <w:r>
        <w:rPr>
          <w:sz w:val="24"/>
        </w:rPr>
        <w:t>必须按照发包方的技术交底施工，保证墙面垂直、平整、观感优良、</w:t>
      </w:r>
      <w:r>
        <w:rPr>
          <w:spacing w:val="-16"/>
          <w:sz w:val="24"/>
        </w:rPr>
        <w:t>阴阳角顺直、细部处理精细，无流坠、刷纹、漏刷、污染等现象。不得出现透底、</w:t>
      </w:r>
      <w:r>
        <w:rPr>
          <w:spacing w:val="-8"/>
          <w:sz w:val="24"/>
        </w:rPr>
        <w:t>倒光或光亮不足、接槎明显、流坠、皱皮、脱皮颜色不一致等现象。立面垂直度</w:t>
      </w:r>
      <w:r>
        <w:rPr>
          <w:spacing w:val="-19"/>
          <w:sz w:val="24"/>
        </w:rPr>
        <w:t xml:space="preserve">允许误差 </w:t>
      </w:r>
      <w:r>
        <w:rPr>
          <w:sz w:val="24"/>
        </w:rPr>
        <w:t>2mm，</w:t>
      </w:r>
      <w:r>
        <w:rPr>
          <w:spacing w:val="-6"/>
          <w:sz w:val="24"/>
        </w:rPr>
        <w:t xml:space="preserve">表面平整度允许误差 </w:t>
      </w:r>
      <w:r>
        <w:rPr>
          <w:sz w:val="24"/>
        </w:rPr>
        <w:t>2mm，</w:t>
      </w:r>
      <w:r>
        <w:rPr>
          <w:spacing w:val="-6"/>
          <w:sz w:val="24"/>
        </w:rPr>
        <w:t xml:space="preserve">阴阳角方正允许误差 </w:t>
      </w:r>
      <w:r>
        <w:rPr>
          <w:sz w:val="24"/>
        </w:rPr>
        <w:t>2mm，踢脚线上</w:t>
      </w:r>
      <w:r>
        <w:rPr>
          <w:spacing w:val="-8"/>
          <w:sz w:val="24"/>
        </w:rPr>
        <w:t xml:space="preserve">口直线允许误差 </w:t>
      </w:r>
      <w:r>
        <w:rPr>
          <w:sz w:val="24"/>
        </w:rPr>
        <w:t>2mm</w:t>
      </w:r>
      <w:r>
        <w:rPr>
          <w:spacing w:val="-5"/>
          <w:sz w:val="24"/>
        </w:rPr>
        <w:t>。基面清理时要将表面起皮松动处处理干净，将灰渣铲除干</w:t>
      </w:r>
      <w:r>
        <w:rPr>
          <w:spacing w:val="-11"/>
          <w:sz w:val="24"/>
        </w:rPr>
        <w:t>净并清扫浮尘，腻子修补或满刮，干燥后要用砂纸打磨表面，磨平磨光，清扫干净，乳胶漆要先刷顶板后刷墙面，衔接紧密，力度均匀，不出现接头、透底、流坠与刷纹现象；</w:t>
      </w:r>
    </w:p>
    <w:p>
      <w:pPr>
        <w:pStyle w:val="7"/>
        <w:numPr>
          <w:ilvl w:val="0"/>
          <w:numId w:val="1"/>
        </w:numPr>
        <w:tabs>
          <w:tab w:val="left" w:pos="1201"/>
        </w:tabs>
        <w:spacing w:before="0" w:after="0" w:line="364" w:lineRule="auto"/>
        <w:ind w:left="120" w:right="117" w:firstLine="480"/>
        <w:jc w:val="left"/>
        <w:rPr>
          <w:sz w:val="22"/>
        </w:rPr>
      </w:pPr>
      <w:bookmarkStart w:id="67" w:name="（5）施涂前应首先清理好周围环境，防止尘土飞扬，影响涂料质量。施涂墙面油漆时，在"/>
      <w:bookmarkEnd w:id="67"/>
      <w:bookmarkStart w:id="68" w:name="（5）施涂前应首先清理好周围环境，防止尘土飞扬，影响涂料质量。施涂墙面油漆时，在"/>
      <w:bookmarkEnd w:id="68"/>
      <w:r>
        <w:rPr>
          <w:sz w:val="24"/>
        </w:rPr>
        <w:t xml:space="preserve">施涂前应首先清理好周围环境，防止尘土飞扬，影响涂料质量。施涂 </w:t>
      </w:r>
      <w:r>
        <w:rPr>
          <w:spacing w:val="-9"/>
          <w:sz w:val="24"/>
        </w:rPr>
        <w:t xml:space="preserve">墙面油漆时，在地面铺彩条布，不得污染地面、踢脚线、窗台、门窗及玻璃等已 </w:t>
      </w:r>
      <w:r>
        <w:rPr>
          <w:spacing w:val="-13"/>
          <w:sz w:val="24"/>
        </w:rPr>
        <w:t xml:space="preserve">完成的分部分项工程。最后一遍涂料施涂完后，室内空气要流通，预防漆膜干燥 </w:t>
      </w:r>
      <w:r>
        <w:rPr>
          <w:spacing w:val="-16"/>
          <w:sz w:val="24"/>
        </w:rPr>
        <w:t xml:space="preserve">后表面无光或光泽不足。油漆未干前，不应打扫室内地面，严防灰尘等沾污墙面 </w:t>
      </w:r>
      <w:r>
        <w:rPr>
          <w:spacing w:val="-11"/>
          <w:sz w:val="24"/>
        </w:rPr>
        <w:t xml:space="preserve">涂料。油漆墙面完工后要妥善保护，不得磕碰污染墙面。凡达不到质量要求，承 </w:t>
      </w:r>
      <w:r>
        <w:rPr>
          <w:spacing w:val="-15"/>
          <w:sz w:val="24"/>
        </w:rPr>
        <w:t xml:space="preserve">包方项目劳务负责人必须无条件返工且造成的损失双倍返还发包方。工作完成后， </w:t>
      </w:r>
      <w:r>
        <w:rPr>
          <w:spacing w:val="-5"/>
          <w:sz w:val="24"/>
        </w:rPr>
        <w:t>应做到工完料尽场清，严格执行《建筑施工安全检查标准》</w:t>
      </w:r>
      <w:r>
        <w:rPr>
          <w:sz w:val="24"/>
        </w:rPr>
        <w:t>（JGJ59-2011）的要 求。</w:t>
      </w:r>
    </w:p>
    <w:p>
      <w:pPr>
        <w:pStyle w:val="2"/>
        <w:spacing w:line="305" w:lineRule="exact"/>
      </w:pPr>
      <w:bookmarkStart w:id="69" w:name="□架子工程施工规范标准："/>
      <w:bookmarkEnd w:id="69"/>
      <w:r>
        <w:t>□架子工程施工规范标准：</w:t>
      </w:r>
    </w:p>
    <w:p>
      <w:pPr>
        <w:pStyle w:val="3"/>
        <w:spacing w:before="152" w:line="364" w:lineRule="auto"/>
        <w:ind w:right="265" w:firstLine="480"/>
      </w:pPr>
      <w:bookmarkStart w:id="70" w:name="零星架子必须满足GB50300-2013《建筑工程施工质量验收统一标准》、JGJ"/>
      <w:bookmarkEnd w:id="70"/>
      <w:r>
        <w:rPr>
          <w:spacing w:val="-7"/>
        </w:rPr>
        <w:t xml:space="preserve">零星架子必须满足 </w:t>
      </w:r>
      <w:r>
        <w:t>GB50300-2013</w:t>
      </w:r>
      <w:r>
        <w:rPr>
          <w:spacing w:val="-8"/>
        </w:rPr>
        <w:t>《建筑工程施工质量验收统一标准》、JGJ80-91</w:t>
      </w:r>
      <w:r>
        <w:rPr>
          <w:spacing w:val="-15"/>
        </w:rPr>
        <w:t>《建筑施工高处作业安全技术规范》、</w:t>
      </w:r>
      <w:r>
        <w:t>JGJ59-2011《建筑施工安全检查</w:t>
      </w:r>
      <w:r>
        <w:rPr>
          <w:spacing w:val="-30"/>
        </w:rPr>
        <w:t>标准》、</w:t>
      </w:r>
      <w:r>
        <w:t>JGJ130-2011</w:t>
      </w:r>
      <w:r>
        <w:rPr>
          <w:spacing w:val="-1"/>
        </w:rPr>
        <w:t>《建筑施工扣件式钢管脚手架安全技术规范》及相关规范、</w:t>
      </w:r>
      <w:r>
        <w:t>标准。大型防护必须按照专项方案进行施工。</w:t>
      </w:r>
    </w:p>
    <w:p>
      <w:pPr>
        <w:pStyle w:val="3"/>
        <w:spacing w:line="362" w:lineRule="auto"/>
        <w:ind w:right="357" w:firstLine="600"/>
        <w:jc w:val="both"/>
      </w:pPr>
      <w:bookmarkStart w:id="71" w:name=" 所有架体必须按照规范及方案的要求进行搭设，如不能达到要求，返工至合格为止，所发"/>
      <w:bookmarkEnd w:id="71"/>
      <w:r>
        <w:t>所有架体必须按照规范及方案的要求进行搭设，如不能达到要求，返工至</w:t>
      </w:r>
      <w:r>
        <w:rPr>
          <w:spacing w:val="-10"/>
        </w:rPr>
        <w:t>合格为止，所发生的费用由承包方项目劳务负责人承担，工期延误费用从承包方</w:t>
      </w:r>
      <w:r>
        <w:t>劳务队任务单中扣除。</w:t>
      </w:r>
    </w:p>
    <w:p>
      <w:pPr>
        <w:pStyle w:val="2"/>
        <w:spacing w:before="6"/>
      </w:pPr>
      <w:bookmarkStart w:id="72" w:name="□砌体工程施工规范标准："/>
      <w:bookmarkEnd w:id="72"/>
      <w:r>
        <w:t>□砌体工程施工规范标准：</w:t>
      </w:r>
    </w:p>
    <w:p>
      <w:pPr>
        <w:pStyle w:val="3"/>
        <w:spacing w:before="158"/>
        <w:ind w:left="600"/>
      </w:pPr>
      <w:bookmarkStart w:id="73" w:name="严格执行以下规范进行施工：《建筑工程施工质量验收统一标准》（GB50300-20"/>
      <w:bookmarkEnd w:id="73"/>
      <w:r>
        <w:rPr>
          <w:spacing w:val="-14"/>
        </w:rPr>
        <w:t>严格执行以下规范进行施工：《建筑工程施工质量验收统一标准》</w:t>
      </w:r>
      <w:r>
        <w:t>（GB50300</w:t>
      </w:r>
    </w:p>
    <w:p>
      <w:pPr>
        <w:pStyle w:val="3"/>
        <w:spacing w:before="161" w:line="364" w:lineRule="auto"/>
        <w:ind w:right="357"/>
      </w:pPr>
      <w:r>
        <w:t>-2013</w:t>
      </w:r>
      <w:r>
        <w:rPr>
          <w:spacing w:val="-120"/>
        </w:rPr>
        <w:t>）</w:t>
      </w:r>
      <w:r>
        <w:rPr>
          <w:spacing w:val="-13"/>
        </w:rPr>
        <w:t>、《砌体工程施工质量验收规范</w:t>
      </w:r>
      <w:r>
        <w:rPr>
          <w:spacing w:val="-144"/>
        </w:rPr>
        <w:t>》</w:t>
      </w:r>
      <w:r>
        <w:t>（GB50203-2011</w:t>
      </w:r>
      <w:r>
        <w:rPr>
          <w:spacing w:val="-24"/>
        </w:rPr>
        <w:t>）</w:t>
      </w:r>
      <w:r>
        <w:rPr>
          <w:spacing w:val="-7"/>
        </w:rPr>
        <w:t>和《砌体结构工程施工</w:t>
      </w:r>
      <w:r>
        <w:rPr>
          <w:spacing w:val="-40"/>
        </w:rPr>
        <w:t>规范》</w:t>
      </w:r>
      <w:r>
        <w:t>（GB50924-2014）等相关技术操作规程及图纸设计要求。砌体质量必须保</w:t>
      </w:r>
    </w:p>
    <w:p>
      <w:pPr>
        <w:spacing w:after="0" w:line="364" w:lineRule="auto"/>
        <w:sectPr>
          <w:pgSz w:w="11910" w:h="16840"/>
          <w:pgMar w:top="1380" w:right="1440" w:bottom="280" w:left="1680" w:header="720" w:footer="720" w:gutter="0"/>
          <w:cols w:space="720" w:num="1"/>
        </w:sectPr>
      </w:pPr>
    </w:p>
    <w:p>
      <w:pPr>
        <w:pStyle w:val="3"/>
        <w:spacing w:before="43" w:line="364" w:lineRule="auto"/>
        <w:ind w:right="357"/>
        <w:jc w:val="both"/>
      </w:pPr>
      <w:r>
        <w:rPr>
          <w:spacing w:val="-10"/>
        </w:rPr>
        <w:t>证合格，达不到质量要求不合格的砌体人工费不予结算、材料费按实际单价乘以</w:t>
      </w:r>
      <w:r>
        <w:rPr>
          <w:spacing w:val="-7"/>
        </w:rPr>
        <w:t>不合格砌体量翻倍予以扣除；重新砌筑待达到质量要求时，按实际砌筑量进行结</w:t>
      </w:r>
      <w:r>
        <w:t>算，且拆除不合格砌体及垃圾外运费用均有承包方项目劳务负责人承担。</w:t>
      </w:r>
    </w:p>
    <w:p>
      <w:pPr>
        <w:pStyle w:val="3"/>
        <w:spacing w:line="364" w:lineRule="auto"/>
        <w:ind w:right="357" w:firstLine="480"/>
        <w:jc w:val="both"/>
      </w:pPr>
      <w:bookmarkStart w:id="74" w:name="按设计图纸及国家标准《建筑工程施工质量验收统一标准》及企业标准、施工组织设计、技"/>
      <w:bookmarkEnd w:id="74"/>
      <w:r>
        <w:rPr>
          <w:spacing w:val="-8"/>
        </w:rPr>
        <w:t>按设计图纸及国家标准《建筑工程施工质量验收统一标准》及企业标准、施</w:t>
      </w:r>
      <w:r>
        <w:rPr>
          <w:spacing w:val="-10"/>
        </w:rPr>
        <w:t>工组织设计、技术方案精心组织施工，确保工程质量达到合同要求。若某一项达</w:t>
      </w:r>
      <w:r>
        <w:t>不到合格要求，不予结算。</w:t>
      </w:r>
    </w:p>
    <w:p>
      <w:pPr>
        <w:pStyle w:val="3"/>
        <w:spacing w:line="364" w:lineRule="auto"/>
        <w:ind w:right="357" w:firstLine="480"/>
        <w:jc w:val="both"/>
      </w:pPr>
      <w:bookmarkStart w:id="75" w:name="加气混凝土砌块灰缝控制在15mm以内，灰缝要求平直并勾缝，砂浆饱满，墙面砌筑完清"/>
      <w:bookmarkEnd w:id="75"/>
      <w:r>
        <w:rPr>
          <w:spacing w:val="-5"/>
        </w:rPr>
        <w:t xml:space="preserve">加气混凝土砌块灰缝控制在 </w:t>
      </w:r>
      <w:r>
        <w:t>15mm</w:t>
      </w:r>
      <w:r>
        <w:rPr>
          <w:spacing w:val="-8"/>
        </w:rPr>
        <w:t xml:space="preserve"> 以内，灰缝要求平直并勾缝，砂浆饱满， </w:t>
      </w:r>
      <w:r>
        <w:rPr>
          <w:spacing w:val="-11"/>
        </w:rPr>
        <w:t xml:space="preserve">墙面砌筑完清理干净，顶部斜蹬砖在墙体砌筑完 </w:t>
      </w:r>
      <w:r>
        <w:t>14</w:t>
      </w:r>
      <w:r>
        <w:rPr>
          <w:spacing w:val="-8"/>
        </w:rPr>
        <w:t xml:space="preserve"> 天后砌筑，并挤压密实，斜</w:t>
      </w:r>
      <w:r>
        <w:rPr>
          <w:spacing w:val="-14"/>
        </w:rPr>
        <w:t>蹬砖的角度必须满足规范要求。标准砖及加气块砌体水平灰缝的砂浆饱满度，抽</w:t>
      </w:r>
      <w:r>
        <w:rPr>
          <w:spacing w:val="-5"/>
        </w:rPr>
        <w:t xml:space="preserve">查三组中有一组或一组小于 </w:t>
      </w:r>
      <w:r>
        <w:t>80%的，罚款</w:t>
      </w:r>
      <w:r>
        <w:rPr>
          <w:u w:val="single"/>
        </w:rPr>
        <w:t xml:space="preserve"> </w:t>
      </w:r>
      <w:r>
        <w:t>元。</w:t>
      </w:r>
    </w:p>
    <w:p>
      <w:pPr>
        <w:pStyle w:val="3"/>
        <w:tabs>
          <w:tab w:val="left" w:pos="5699"/>
        </w:tabs>
        <w:spacing w:line="364" w:lineRule="auto"/>
        <w:ind w:right="445" w:firstLine="480"/>
        <w:jc w:val="both"/>
      </w:pPr>
      <w:r>
        <w:t>墙体垂直度偏差大于</w:t>
      </w:r>
      <w:r>
        <w:rPr>
          <w:spacing w:val="-60"/>
        </w:rPr>
        <w:t xml:space="preserve"> </w:t>
      </w:r>
      <w:r>
        <w:t>10mm（每层查</w:t>
      </w:r>
      <w:r>
        <w:rPr>
          <w:spacing w:val="-60"/>
        </w:rPr>
        <w:t xml:space="preserve"> </w:t>
      </w:r>
      <w:r>
        <w:t>10</w:t>
      </w:r>
      <w:r>
        <w:rPr>
          <w:spacing w:val="-60"/>
        </w:rPr>
        <w:t xml:space="preserve"> </w:t>
      </w:r>
      <w:r>
        <w:t>处）的，每处罚款</w:t>
      </w:r>
      <w:r>
        <w:rPr>
          <w:u w:val="single"/>
        </w:rPr>
        <w:t xml:space="preserve">  </w:t>
      </w:r>
      <w:r>
        <w:t>元，表面平</w:t>
      </w:r>
      <w:r>
        <w:rPr>
          <w:spacing w:val="-19"/>
        </w:rPr>
        <w:t>整</w:t>
      </w:r>
      <w:r>
        <w:t>度偏差超过</w:t>
      </w:r>
      <w:r>
        <w:rPr>
          <w:spacing w:val="-60"/>
        </w:rPr>
        <w:t xml:space="preserve"> </w:t>
      </w:r>
      <w:r>
        <w:t>8mm（每层查</w:t>
      </w:r>
      <w:r>
        <w:rPr>
          <w:spacing w:val="-60"/>
        </w:rPr>
        <w:t xml:space="preserve"> </w:t>
      </w:r>
      <w:r>
        <w:t>10</w:t>
      </w:r>
      <w:r>
        <w:rPr>
          <w:spacing w:val="-60"/>
        </w:rPr>
        <w:t xml:space="preserve"> </w:t>
      </w:r>
      <w:r>
        <w:t>处）的，每处罚款</w:t>
      </w:r>
      <w:r>
        <w:rPr>
          <w:u w:val="single"/>
        </w:rPr>
        <w:t xml:space="preserve"> </w:t>
      </w:r>
      <w:r>
        <w:rPr>
          <w:u w:val="single"/>
        </w:rPr>
        <w:tab/>
      </w:r>
      <w:r>
        <w:t>元。</w:t>
      </w:r>
    </w:p>
    <w:p>
      <w:pPr>
        <w:tabs>
          <w:tab w:val="left" w:pos="7259"/>
        </w:tabs>
        <w:spacing w:before="0" w:line="362" w:lineRule="auto"/>
        <w:ind w:left="600" w:right="1524" w:firstLine="0"/>
        <w:jc w:val="left"/>
        <w:rPr>
          <w:b/>
          <w:sz w:val="24"/>
        </w:rPr>
      </w:pPr>
      <w:r>
        <w:rPr>
          <w:sz w:val="24"/>
        </w:rPr>
        <w:t>□其他约定</w:t>
      </w:r>
      <w:r>
        <w:rPr>
          <w:rFonts w:ascii="Times New Roman" w:hAnsi="Times New Roman" w:eastAsia="Times New Roman"/>
          <w:sz w:val="24"/>
          <w:u w:val="single"/>
        </w:rPr>
        <w:t xml:space="preserve"> </w:t>
      </w:r>
      <w:r>
        <w:rPr>
          <w:rFonts w:ascii="Times New Roman" w:hAnsi="Times New Roman" w:eastAsia="Times New Roman"/>
          <w:sz w:val="24"/>
          <w:u w:val="single"/>
        </w:rPr>
        <w:tab/>
      </w:r>
      <w:bookmarkStart w:id="76" w:name="五、安全要求"/>
      <w:bookmarkEnd w:id="76"/>
      <w:r>
        <w:rPr>
          <w:rFonts w:ascii="Times New Roman" w:hAnsi="Times New Roman" w:eastAsia="Times New Roman"/>
          <w:sz w:val="24"/>
        </w:rPr>
        <w:t xml:space="preserve"> </w:t>
      </w:r>
      <w:r>
        <w:rPr>
          <w:b/>
          <w:sz w:val="24"/>
        </w:rPr>
        <w:t>五、安全要求</w:t>
      </w:r>
    </w:p>
    <w:p>
      <w:pPr>
        <w:pStyle w:val="7"/>
        <w:numPr>
          <w:ilvl w:val="0"/>
          <w:numId w:val="0"/>
        </w:numPr>
        <w:tabs>
          <w:tab w:val="left" w:pos="841"/>
        </w:tabs>
        <w:spacing w:before="0" w:after="0" w:line="362" w:lineRule="auto"/>
        <w:ind w:right="357" w:rightChars="0" w:firstLine="476" w:firstLineChars="200"/>
        <w:jc w:val="left"/>
        <w:rPr>
          <w:sz w:val="24"/>
        </w:rPr>
      </w:pPr>
      <w:bookmarkStart w:id="77" w:name="1.严格按照安全操作规范施工：GB50194-93《建设工程施工现场公共用电安全"/>
      <w:bookmarkEnd w:id="77"/>
      <w:bookmarkStart w:id="78" w:name="1.严格按照安全操作规范施工：GB50194-93《建设工程施工现场公共用电安全"/>
      <w:bookmarkEnd w:id="78"/>
      <w:r>
        <w:rPr>
          <w:rFonts w:hint="eastAsia"/>
          <w:spacing w:val="-1"/>
          <w:sz w:val="24"/>
          <w:lang w:val="en-US" w:eastAsia="zh-CN"/>
        </w:rPr>
        <w:t>1.</w:t>
      </w:r>
      <w:r>
        <w:rPr>
          <w:spacing w:val="-1"/>
          <w:sz w:val="24"/>
        </w:rPr>
        <w:t>严格按照安全操作规范施工：</w:t>
      </w:r>
      <w:r>
        <w:rPr>
          <w:spacing w:val="-9"/>
          <w:sz w:val="24"/>
        </w:rPr>
        <w:t>GB50194-93</w:t>
      </w:r>
      <w:r>
        <w:rPr>
          <w:spacing w:val="-2"/>
          <w:sz w:val="24"/>
        </w:rPr>
        <w:t>《建设工程施工现场公共用电安</w:t>
      </w:r>
      <w:r>
        <w:rPr>
          <w:spacing w:val="-32"/>
          <w:sz w:val="24"/>
        </w:rPr>
        <w:t>全规范》</w:t>
      </w:r>
      <w:r>
        <w:rPr>
          <w:spacing w:val="-3"/>
          <w:sz w:val="24"/>
        </w:rPr>
        <w:t>（</w:t>
      </w:r>
      <w:r>
        <w:rPr>
          <w:sz w:val="24"/>
        </w:rPr>
        <w:t>2007</w:t>
      </w:r>
      <w:r>
        <w:rPr>
          <w:spacing w:val="-30"/>
          <w:sz w:val="24"/>
        </w:rPr>
        <w:t xml:space="preserve"> 版</w:t>
      </w:r>
      <w:r>
        <w:rPr>
          <w:spacing w:val="-120"/>
          <w:sz w:val="24"/>
        </w:rPr>
        <w:t>）</w:t>
      </w:r>
      <w:r>
        <w:rPr>
          <w:spacing w:val="-8"/>
          <w:sz w:val="24"/>
        </w:rPr>
        <w:t>；</w:t>
      </w:r>
      <w:r>
        <w:rPr>
          <w:sz w:val="24"/>
        </w:rPr>
        <w:t>GB50656-201</w:t>
      </w:r>
      <w:r>
        <w:rPr>
          <w:spacing w:val="-8"/>
          <w:sz w:val="24"/>
        </w:rPr>
        <w:t>1</w:t>
      </w:r>
      <w:r>
        <w:rPr>
          <w:spacing w:val="-11"/>
          <w:sz w:val="24"/>
        </w:rPr>
        <w:t>《施工企业安全生产管理规范》；</w:t>
      </w:r>
      <w:r>
        <w:rPr>
          <w:spacing w:val="-2"/>
          <w:sz w:val="24"/>
        </w:rPr>
        <w:t>JGJ33-2012</w:t>
      </w:r>
    </w:p>
    <w:p>
      <w:pPr>
        <w:pStyle w:val="3"/>
        <w:spacing w:before="5" w:line="364" w:lineRule="auto"/>
        <w:ind w:right="237"/>
      </w:pPr>
      <w:r>
        <w:rPr>
          <w:spacing w:val="-16"/>
        </w:rPr>
        <w:t>《建筑机械使用安全技术规范》；</w:t>
      </w:r>
      <w:r>
        <w:t>JGJ46-200</w:t>
      </w:r>
      <w:r>
        <w:rPr>
          <w:spacing w:val="-106"/>
        </w:rPr>
        <w:t>5</w:t>
      </w:r>
      <w:r>
        <w:rPr>
          <w:spacing w:val="-10"/>
        </w:rPr>
        <w:t>《施工现场临时用电安全技术规程》；</w:t>
      </w:r>
      <w:r>
        <w:t xml:space="preserve"> JGJ59-2011</w:t>
      </w:r>
      <w:r>
        <w:rPr>
          <w:spacing w:val="-10"/>
        </w:rPr>
        <w:t>《建筑施工安全检查标准》</w:t>
      </w:r>
      <w:r>
        <w:t>；JGJ/T77-2010《施工企业安全生产评价</w:t>
      </w:r>
      <w:r>
        <w:rPr>
          <w:spacing w:val="-40"/>
        </w:rPr>
        <w:t>标准》</w:t>
      </w:r>
      <w:r>
        <w:t>；JGJ80-91</w:t>
      </w:r>
      <w:r>
        <w:rPr>
          <w:spacing w:val="-8"/>
        </w:rPr>
        <w:t>《建筑施工高处作业安全技术规程》。</w:t>
      </w:r>
    </w:p>
    <w:p>
      <w:pPr>
        <w:pStyle w:val="7"/>
        <w:numPr>
          <w:ilvl w:val="0"/>
          <w:numId w:val="0"/>
        </w:numPr>
        <w:tabs>
          <w:tab w:val="left" w:pos="841"/>
        </w:tabs>
        <w:spacing w:before="0" w:after="0" w:line="304" w:lineRule="exact"/>
        <w:ind w:right="0" w:rightChars="0" w:firstLine="480" w:firstLineChars="200"/>
        <w:jc w:val="left"/>
        <w:rPr>
          <w:sz w:val="24"/>
        </w:rPr>
      </w:pPr>
      <w:bookmarkStart w:id="79" w:name="2.必须服从发包方安全管理制度及安全生产协议中的规定要求。           "/>
      <w:bookmarkEnd w:id="79"/>
      <w:bookmarkStart w:id="80" w:name="2.必须服从发包方安全管理制度及安全生产协议中的规定要求。           "/>
      <w:bookmarkEnd w:id="80"/>
      <w:r>
        <w:rPr>
          <w:rFonts w:hint="eastAsia"/>
          <w:sz w:val="24"/>
          <w:lang w:val="en-US" w:eastAsia="zh-CN"/>
        </w:rPr>
        <w:t>2.</w:t>
      </w:r>
      <w:r>
        <w:rPr>
          <w:sz w:val="24"/>
        </w:rPr>
        <w:t>必须服从发包方安全管理制度及安全生产协议中的规定要求。</w:t>
      </w:r>
    </w:p>
    <w:p>
      <w:pPr>
        <w:pStyle w:val="7"/>
        <w:numPr>
          <w:ilvl w:val="0"/>
          <w:numId w:val="0"/>
        </w:numPr>
        <w:tabs>
          <w:tab w:val="left" w:pos="841"/>
        </w:tabs>
        <w:spacing w:before="160" w:after="0" w:line="240" w:lineRule="auto"/>
        <w:ind w:right="0" w:rightChars="0" w:firstLine="480" w:firstLineChars="200"/>
        <w:jc w:val="left"/>
        <w:rPr>
          <w:sz w:val="24"/>
        </w:rPr>
      </w:pPr>
      <w:bookmarkStart w:id="81" w:name="3.必须按照发包方安全教育及安全技术交底要求进行施工。             "/>
      <w:bookmarkEnd w:id="81"/>
      <w:bookmarkStart w:id="82" w:name="3.必须按照发包方安全教育及安全技术交底要求进行施工。             "/>
      <w:bookmarkEnd w:id="82"/>
      <w:r>
        <w:rPr>
          <w:rFonts w:hint="eastAsia"/>
          <w:sz w:val="24"/>
          <w:lang w:val="en-US" w:eastAsia="zh-CN"/>
        </w:rPr>
        <w:t>3.</w:t>
      </w:r>
      <w:r>
        <w:rPr>
          <w:sz w:val="24"/>
        </w:rPr>
        <w:t>必须按照发包方安全教育及安全技术交底要求进行施工。</w:t>
      </w:r>
    </w:p>
    <w:p>
      <w:pPr>
        <w:pStyle w:val="7"/>
        <w:numPr>
          <w:ilvl w:val="0"/>
          <w:numId w:val="0"/>
        </w:numPr>
        <w:tabs>
          <w:tab w:val="left" w:pos="841"/>
        </w:tabs>
        <w:spacing w:before="158" w:after="0" w:line="364" w:lineRule="auto"/>
        <w:ind w:right="357" w:rightChars="0" w:firstLine="480" w:firstLineChars="200"/>
        <w:jc w:val="left"/>
        <w:rPr>
          <w:sz w:val="24"/>
        </w:rPr>
      </w:pPr>
      <w:bookmarkStart w:id="83" w:name="4.如承包方管理不当或承包方劳务人员不按照安全操作规程及发包方安全生产协议及安全"/>
      <w:bookmarkEnd w:id="83"/>
      <w:bookmarkStart w:id="84" w:name="4.如承包方管理不当或承包方劳务人员不按照安全操作规程及发包方安全生产协议及安全"/>
      <w:bookmarkEnd w:id="84"/>
      <w:r>
        <w:rPr>
          <w:rFonts w:hint="eastAsia"/>
          <w:sz w:val="24"/>
          <w:lang w:val="en-US" w:eastAsia="zh-CN"/>
        </w:rPr>
        <w:t>4.</w:t>
      </w:r>
      <w:r>
        <w:rPr>
          <w:sz w:val="24"/>
        </w:rPr>
        <w:t>如承包方管理不当或承包方劳务人员不按照安全操作规程及发包方安全</w:t>
      </w:r>
      <w:r>
        <w:rPr>
          <w:spacing w:val="-7"/>
          <w:sz w:val="24"/>
        </w:rPr>
        <w:t>生产协议及安全技术交底进行作业，所造成的人员伤害设备损坏及财产损失由承</w:t>
      </w:r>
      <w:r>
        <w:rPr>
          <w:sz w:val="24"/>
        </w:rPr>
        <w:t>包方项目劳务负责人及所属承包方劳务队承担一切损失及所有法律责任。</w:t>
      </w:r>
    </w:p>
    <w:p>
      <w:pPr>
        <w:pStyle w:val="7"/>
        <w:numPr>
          <w:ilvl w:val="0"/>
          <w:numId w:val="0"/>
        </w:numPr>
        <w:tabs>
          <w:tab w:val="left" w:pos="841"/>
        </w:tabs>
        <w:spacing w:before="0" w:after="0" w:line="362" w:lineRule="auto"/>
        <w:ind w:right="357" w:rightChars="0" w:firstLine="452" w:firstLineChars="200"/>
        <w:jc w:val="left"/>
        <w:rPr>
          <w:sz w:val="24"/>
        </w:rPr>
      </w:pPr>
      <w:bookmarkStart w:id="85" w:name="5.发包方对承包方劳务人员进行安全教育；提供有关施工现场的安全防护设施；负责对承"/>
      <w:bookmarkEnd w:id="85"/>
      <w:bookmarkStart w:id="86" w:name="5.发包方对承包方劳务人员进行安全教育；提供有关施工现场的安全防护设施；负责对承"/>
      <w:bookmarkEnd w:id="86"/>
      <w:r>
        <w:rPr>
          <w:rFonts w:hint="eastAsia"/>
          <w:spacing w:val="-7"/>
          <w:sz w:val="24"/>
          <w:lang w:val="en-US" w:eastAsia="zh-CN"/>
        </w:rPr>
        <w:t>5.</w:t>
      </w:r>
      <w:r>
        <w:rPr>
          <w:spacing w:val="-7"/>
          <w:sz w:val="24"/>
        </w:rPr>
        <w:t>发包方对承包方劳务人员进行安全教育；提供有关施工现场的安全防护设</w:t>
      </w:r>
      <w:r>
        <w:rPr>
          <w:sz w:val="24"/>
        </w:rPr>
        <w:t>施；负责对承包方的检查和日常管理。</w:t>
      </w:r>
    </w:p>
    <w:p>
      <w:pPr>
        <w:pStyle w:val="7"/>
        <w:numPr>
          <w:ilvl w:val="0"/>
          <w:numId w:val="0"/>
        </w:numPr>
        <w:tabs>
          <w:tab w:val="left" w:pos="841"/>
        </w:tabs>
        <w:spacing w:before="5" w:after="0" w:line="240" w:lineRule="auto"/>
        <w:ind w:right="0" w:rightChars="0" w:firstLine="480" w:firstLineChars="200"/>
        <w:jc w:val="left"/>
        <w:rPr>
          <w:sz w:val="24"/>
        </w:rPr>
      </w:pPr>
      <w:bookmarkStart w:id="87" w:name="6.操作人员进入现场必须戴好安全帽及个人防护用品。               "/>
      <w:bookmarkEnd w:id="87"/>
      <w:bookmarkStart w:id="88" w:name="6.操作人员进入现场必须戴好安全帽及个人防护用品。               "/>
      <w:bookmarkEnd w:id="88"/>
      <w:r>
        <w:rPr>
          <w:rFonts w:hint="eastAsia"/>
          <w:sz w:val="24"/>
          <w:lang w:val="en-US" w:eastAsia="zh-CN"/>
        </w:rPr>
        <w:t>6.</w:t>
      </w:r>
      <w:r>
        <w:rPr>
          <w:sz w:val="24"/>
        </w:rPr>
        <w:t>操作人员进入现场必须戴好安全帽及个人防护用品。</w:t>
      </w:r>
    </w:p>
    <w:p>
      <w:pPr>
        <w:pStyle w:val="7"/>
        <w:numPr>
          <w:ilvl w:val="0"/>
          <w:numId w:val="0"/>
        </w:numPr>
        <w:tabs>
          <w:tab w:val="left" w:pos="841"/>
        </w:tabs>
        <w:spacing w:before="158" w:after="0" w:line="240" w:lineRule="auto"/>
        <w:ind w:right="0" w:rightChars="0" w:firstLine="480" w:firstLineChars="200"/>
        <w:jc w:val="left"/>
        <w:rPr>
          <w:sz w:val="24"/>
        </w:rPr>
      </w:pPr>
      <w:bookmarkStart w:id="89" w:name="7.操作人员必须持证上岗，人证相符                       "/>
      <w:bookmarkEnd w:id="89"/>
      <w:bookmarkStart w:id="90" w:name="7.操作人员必须持证上岗，人证相符                       "/>
      <w:bookmarkEnd w:id="90"/>
      <w:r>
        <w:rPr>
          <w:rFonts w:hint="eastAsia"/>
          <w:sz w:val="24"/>
          <w:lang w:val="en-US" w:eastAsia="zh-CN"/>
        </w:rPr>
        <w:t>7.</w:t>
      </w:r>
      <w:r>
        <w:rPr>
          <w:sz w:val="24"/>
        </w:rPr>
        <w:t>操作人员必须持证上岗，人证相符</w:t>
      </w:r>
    </w:p>
    <w:p>
      <w:pPr>
        <w:pStyle w:val="7"/>
        <w:numPr>
          <w:ilvl w:val="0"/>
          <w:numId w:val="0"/>
        </w:numPr>
        <w:tabs>
          <w:tab w:val="left" w:pos="841"/>
        </w:tabs>
        <w:spacing w:before="160" w:after="0" w:line="364" w:lineRule="auto"/>
        <w:ind w:right="357" w:rightChars="0" w:firstLine="452" w:firstLineChars="200"/>
        <w:jc w:val="left"/>
        <w:rPr>
          <w:sz w:val="24"/>
        </w:rPr>
      </w:pPr>
      <w:bookmarkStart w:id="91" w:name="8.承包方接受发包方的安全管理、服从发包方的安全生产领导、加强对自有劳务人员的安"/>
      <w:bookmarkEnd w:id="91"/>
      <w:bookmarkStart w:id="92" w:name="8.承包方接受发包方的安全管理、服从发包方的安全生产领导、加强对自有劳务人员的安"/>
      <w:bookmarkEnd w:id="92"/>
      <w:r>
        <w:rPr>
          <w:rFonts w:hint="eastAsia"/>
          <w:spacing w:val="-7"/>
          <w:sz w:val="24"/>
          <w:lang w:val="en-US" w:eastAsia="zh-CN"/>
        </w:rPr>
        <w:t>8.</w:t>
      </w:r>
      <w:r>
        <w:rPr>
          <w:spacing w:val="-7"/>
          <w:sz w:val="24"/>
        </w:rPr>
        <w:t>承包方接受发包方的安全管理、服从发包方的安全生产领导、加强对自有</w:t>
      </w:r>
      <w:r>
        <w:rPr>
          <w:spacing w:val="-8"/>
          <w:sz w:val="24"/>
        </w:rPr>
        <w:t>劳务人员的安全教育、爱护各项安全防护设施、发现隐患及时向发包方报告，并</w:t>
      </w:r>
    </w:p>
    <w:p>
      <w:pPr>
        <w:spacing w:after="0" w:line="364" w:lineRule="auto"/>
        <w:jc w:val="left"/>
        <w:rPr>
          <w:sz w:val="24"/>
        </w:rPr>
        <w:sectPr>
          <w:pgSz w:w="11910" w:h="16840"/>
          <w:pgMar w:top="1380" w:right="1440" w:bottom="280" w:left="1680" w:header="720" w:footer="720" w:gutter="0"/>
          <w:cols w:space="720" w:num="1"/>
        </w:sectPr>
      </w:pPr>
    </w:p>
    <w:p>
      <w:pPr>
        <w:pStyle w:val="3"/>
        <w:spacing w:before="43" w:line="364" w:lineRule="auto"/>
        <w:ind w:right="237"/>
      </w:pPr>
      <w:r>
        <w:rPr>
          <w:spacing w:val="-13"/>
        </w:rPr>
        <w:t>采取必要的措施防止事故的发生，严格执行有关安全生产规定，做到不违章作业、</w:t>
      </w:r>
      <w:r>
        <w:rPr>
          <w:spacing w:val="-9"/>
        </w:rPr>
        <w:t>违章指挥。由于违反安全生产规定和违章作业所发生的事故，承包方项目劳务负责人应负主要责任，并承担相应的损失及相应责任。</w:t>
      </w:r>
    </w:p>
    <w:p>
      <w:pPr>
        <w:pStyle w:val="7"/>
        <w:numPr>
          <w:ilvl w:val="0"/>
          <w:numId w:val="0"/>
        </w:numPr>
        <w:tabs>
          <w:tab w:val="left" w:pos="841"/>
          <w:tab w:val="left" w:pos="8186"/>
        </w:tabs>
        <w:spacing w:before="0" w:after="0" w:line="362" w:lineRule="auto"/>
        <w:ind w:right="357" w:rightChars="0" w:firstLine="480" w:firstLineChars="200"/>
        <w:jc w:val="left"/>
        <w:rPr>
          <w:sz w:val="24"/>
        </w:rPr>
      </w:pPr>
      <w:bookmarkStart w:id="93" w:name="9.本项目安全及文明施工要求：按照发包方对该工程的要求必须达到    标准。"/>
      <w:bookmarkEnd w:id="93"/>
      <w:bookmarkStart w:id="94" w:name="9.本项目安全及文明施工要求：按照发包方对该工程的要求必须达到    标准。"/>
      <w:bookmarkEnd w:id="94"/>
      <w:r>
        <w:rPr>
          <w:rFonts w:hint="eastAsia"/>
          <w:sz w:val="24"/>
          <w:lang w:val="en-US" w:eastAsia="zh-CN"/>
        </w:rPr>
        <w:t>9.</w:t>
      </w:r>
      <w:r>
        <w:rPr>
          <w:sz w:val="24"/>
        </w:rPr>
        <w:t>本项目安全及文明施工要求</w:t>
      </w:r>
      <w:r>
        <w:rPr>
          <w:spacing w:val="-94"/>
          <w:sz w:val="24"/>
        </w:rPr>
        <w:t>：</w:t>
      </w:r>
      <w:r>
        <w:rPr>
          <w:sz w:val="24"/>
        </w:rPr>
        <w:t>按照发包方对该工程的要求必须达到</w:t>
      </w:r>
      <w:r>
        <w:rPr>
          <w:sz w:val="24"/>
          <w:u w:val="single"/>
        </w:rPr>
        <w:t xml:space="preserve"> </w:t>
      </w:r>
      <w:r>
        <w:rPr>
          <w:sz w:val="24"/>
          <w:u w:val="single"/>
        </w:rPr>
        <w:tab/>
      </w:r>
      <w:r>
        <w:rPr>
          <w:spacing w:val="-17"/>
          <w:sz w:val="24"/>
        </w:rPr>
        <w:t>标</w:t>
      </w:r>
      <w:r>
        <w:rPr>
          <w:sz w:val="24"/>
        </w:rPr>
        <w:t>准。</w:t>
      </w:r>
    </w:p>
    <w:p>
      <w:pPr>
        <w:pStyle w:val="7"/>
        <w:numPr>
          <w:ilvl w:val="0"/>
          <w:numId w:val="0"/>
        </w:numPr>
        <w:tabs>
          <w:tab w:val="left" w:pos="961"/>
        </w:tabs>
        <w:spacing w:before="4" w:after="0" w:line="240" w:lineRule="auto"/>
        <w:ind w:right="0" w:rightChars="0" w:firstLine="452" w:firstLineChars="200"/>
        <w:jc w:val="left"/>
        <w:rPr>
          <w:sz w:val="24"/>
        </w:rPr>
      </w:pPr>
      <w:bookmarkStart w:id="95" w:name="10.在发包方或上级部门检查中，承包方如未达到《建筑施工安全检查标准》（JGJ5"/>
      <w:bookmarkEnd w:id="95"/>
      <w:bookmarkStart w:id="96" w:name="10.在发包方或上级部门检查中，承包方如未达到《建筑施工安全检查标准》（JGJ5"/>
      <w:bookmarkEnd w:id="96"/>
      <w:r>
        <w:rPr>
          <w:rFonts w:hint="eastAsia"/>
          <w:spacing w:val="-7"/>
          <w:sz w:val="24"/>
          <w:lang w:val="en-US" w:eastAsia="zh-CN"/>
        </w:rPr>
        <w:t>10.</w:t>
      </w:r>
      <w:r>
        <w:rPr>
          <w:spacing w:val="-7"/>
          <w:sz w:val="24"/>
        </w:rPr>
        <w:t>在发包方或上级部门检查中，承包方如未达到《建筑施工安全检查标准》</w:t>
      </w:r>
    </w:p>
    <w:p>
      <w:pPr>
        <w:pStyle w:val="3"/>
        <w:spacing w:before="158" w:line="364" w:lineRule="auto"/>
        <w:ind w:right="357"/>
      </w:pPr>
      <w:r>
        <w:rPr>
          <w:spacing w:val="-3"/>
        </w:rPr>
        <w:t>（JGJ59-2011）</w:t>
      </w:r>
      <w:r>
        <w:rPr>
          <w:spacing w:val="-9"/>
        </w:rPr>
        <w:t>的要求，造成的处罚及其他责任，均由承包方项目劳务负责人承</w:t>
      </w:r>
      <w:r>
        <w:t>担。</w:t>
      </w:r>
    </w:p>
    <w:p>
      <w:pPr>
        <w:pStyle w:val="7"/>
        <w:numPr>
          <w:ilvl w:val="0"/>
          <w:numId w:val="0"/>
        </w:numPr>
        <w:tabs>
          <w:tab w:val="left" w:pos="961"/>
        </w:tabs>
        <w:spacing w:before="1" w:after="0" w:line="362" w:lineRule="auto"/>
        <w:ind w:right="385" w:rightChars="0" w:firstLine="476" w:firstLineChars="200"/>
        <w:jc w:val="left"/>
        <w:rPr>
          <w:sz w:val="24"/>
        </w:rPr>
      </w:pPr>
      <w:bookmarkStart w:id="97" w:name="11.对于特殊工程，要求承包方项目劳务负责人给自己的劳务人员购买意外伤害保险。 "/>
      <w:bookmarkEnd w:id="97"/>
      <w:bookmarkStart w:id="98" w:name="11.对于特殊工程，要求承包方项目劳务负责人给自己的劳务人员购买意外伤害保险。 "/>
      <w:bookmarkEnd w:id="98"/>
      <w:r>
        <w:rPr>
          <w:rFonts w:hint="eastAsia"/>
          <w:spacing w:val="-1"/>
          <w:sz w:val="24"/>
          <w:lang w:val="en-US" w:eastAsia="zh-CN"/>
        </w:rPr>
        <w:t>11.</w:t>
      </w:r>
      <w:r>
        <w:rPr>
          <w:spacing w:val="-1"/>
          <w:sz w:val="24"/>
        </w:rPr>
        <w:t>对于特殊工程，要求承包方项目劳务负责人给自己的劳务人员购买意外</w:t>
      </w:r>
      <w:r>
        <w:rPr>
          <w:sz w:val="24"/>
        </w:rPr>
        <w:t>伤害保险。</w:t>
      </w:r>
    </w:p>
    <w:p>
      <w:pPr>
        <w:pStyle w:val="2"/>
        <w:spacing w:before="3"/>
      </w:pPr>
      <w:bookmarkStart w:id="99" w:name="六、文明施工、环境管理要求  "/>
      <w:bookmarkEnd w:id="99"/>
      <w:r>
        <w:t>六、文明施工、环境管理要求</w:t>
      </w:r>
    </w:p>
    <w:p>
      <w:pPr>
        <w:pStyle w:val="7"/>
        <w:numPr>
          <w:ilvl w:val="0"/>
          <w:numId w:val="2"/>
        </w:numPr>
        <w:tabs>
          <w:tab w:val="left" w:pos="964"/>
        </w:tabs>
        <w:spacing w:before="160" w:after="0" w:line="364" w:lineRule="auto"/>
        <w:ind w:left="122" w:right="357" w:firstLine="600"/>
        <w:jc w:val="both"/>
        <w:rPr>
          <w:sz w:val="24"/>
        </w:rPr>
      </w:pPr>
      <w:r>
        <w:rPr>
          <w:sz w:val="24"/>
        </w:rPr>
        <w:t>承包方加强施工现场管理，严格执行发包方标准化管理规定，做到工完</w:t>
      </w:r>
      <w:r>
        <w:rPr>
          <w:spacing w:val="-11"/>
          <w:sz w:val="24"/>
        </w:rPr>
        <w:t>料尽场地清，文明施工，严格执行公司绿色文明施工及环保要求。在发包方项目</w:t>
      </w:r>
      <w:r>
        <w:rPr>
          <w:spacing w:val="-8"/>
          <w:sz w:val="24"/>
        </w:rPr>
        <w:t>部或上级部门检查中，承包方如未达到绿色文明施工及环保标准要求，造成的处</w:t>
      </w:r>
      <w:r>
        <w:rPr>
          <w:sz w:val="24"/>
        </w:rPr>
        <w:t>罚及其他责任，均由承包方项目劳务负责人及其所属劳务队承担。</w:t>
      </w:r>
    </w:p>
    <w:p>
      <w:pPr>
        <w:pStyle w:val="7"/>
        <w:numPr>
          <w:ilvl w:val="0"/>
          <w:numId w:val="2"/>
        </w:numPr>
        <w:tabs>
          <w:tab w:val="left" w:pos="844"/>
        </w:tabs>
        <w:spacing w:before="0" w:after="0" w:line="305" w:lineRule="exact"/>
        <w:ind w:left="843" w:right="0" w:hanging="242"/>
        <w:jc w:val="left"/>
        <w:rPr>
          <w:sz w:val="24"/>
        </w:rPr>
      </w:pPr>
      <w:r>
        <w:rPr>
          <w:sz w:val="24"/>
        </w:rPr>
        <w:t>工作完成后，应做到工完料尽场清，严格执行《建筑施工安全检查标准》</w:t>
      </w:r>
    </w:p>
    <w:p>
      <w:pPr>
        <w:pStyle w:val="3"/>
        <w:spacing w:before="161"/>
        <w:ind w:left="122"/>
      </w:pPr>
      <w:r>
        <w:t>（JGJ59-2011）的要求。</w:t>
      </w:r>
    </w:p>
    <w:p>
      <w:pPr>
        <w:pStyle w:val="2"/>
        <w:numPr>
          <w:ilvl w:val="0"/>
          <w:numId w:val="2"/>
        </w:numPr>
        <w:tabs>
          <w:tab w:val="left" w:pos="841"/>
          <w:tab w:val="left" w:pos="6899"/>
        </w:tabs>
        <w:spacing w:before="158" w:after="0" w:line="364" w:lineRule="auto"/>
        <w:ind w:left="600" w:right="1884" w:firstLine="0"/>
        <w:jc w:val="left"/>
      </w:pPr>
      <w:r>
        <w:rPr>
          <w:b w:val="0"/>
        </w:rPr>
        <w:t>其他约定：</w:t>
      </w:r>
      <w:r>
        <w:rPr>
          <w:rFonts w:ascii="Times New Roman" w:eastAsia="Times New Roman"/>
          <w:b w:val="0"/>
          <w:u w:val="single"/>
        </w:rPr>
        <w:t xml:space="preserve"> </w:t>
      </w:r>
      <w:r>
        <w:rPr>
          <w:rFonts w:ascii="Times New Roman" w:eastAsia="Times New Roman"/>
          <w:b w:val="0"/>
          <w:u w:val="single"/>
        </w:rPr>
        <w:tab/>
      </w:r>
      <w:r>
        <w:rPr>
          <w:w w:val="99"/>
        </w:rPr>
        <w:t xml:space="preserve">                                         </w:t>
      </w:r>
      <w:r>
        <w:rPr>
          <w:w w:val="95"/>
        </w:rPr>
        <w:t>七</w:t>
      </w:r>
      <w:r>
        <w:rPr>
          <w:spacing w:val="-104"/>
          <w:w w:val="95"/>
        </w:rPr>
        <w:t xml:space="preserve"> </w:t>
      </w:r>
      <w:r>
        <w:t>、费用结算及税票开具的约定</w:t>
      </w:r>
    </w:p>
    <w:p>
      <w:pPr>
        <w:pStyle w:val="7"/>
        <w:numPr>
          <w:ilvl w:val="0"/>
          <w:numId w:val="3"/>
        </w:numPr>
        <w:tabs>
          <w:tab w:val="left" w:pos="844"/>
        </w:tabs>
        <w:spacing w:before="0" w:after="0" w:line="364" w:lineRule="auto"/>
        <w:ind w:left="122" w:right="357" w:firstLine="480"/>
        <w:jc w:val="left"/>
        <w:rPr>
          <w:sz w:val="24"/>
        </w:rPr>
      </w:pPr>
      <w:r>
        <w:rPr>
          <w:spacing w:val="-11"/>
          <w:sz w:val="24"/>
        </w:rPr>
        <w:t>结算方式：由发包方施工员、质量员、核算员按照国家颁布的定额中关于</w:t>
      </w:r>
      <w:r>
        <w:rPr>
          <w:sz w:val="24"/>
        </w:rPr>
        <w:t>工程量计算规则计算实际完成量。</w:t>
      </w:r>
    </w:p>
    <w:p>
      <w:pPr>
        <w:pStyle w:val="7"/>
        <w:numPr>
          <w:ilvl w:val="0"/>
          <w:numId w:val="3"/>
        </w:numPr>
        <w:tabs>
          <w:tab w:val="left" w:pos="844"/>
        </w:tabs>
        <w:spacing w:before="0" w:after="0" w:line="364" w:lineRule="auto"/>
        <w:ind w:left="122" w:right="357" w:firstLine="480"/>
        <w:jc w:val="both"/>
        <w:rPr>
          <w:sz w:val="24"/>
        </w:rPr>
      </w:pPr>
      <w:r>
        <w:rPr>
          <w:sz w:val="24"/>
        </w:rPr>
        <w:t>发包方以工程任务单的形式截止每月</w:t>
      </w:r>
      <w:r>
        <w:rPr>
          <w:sz w:val="24"/>
          <w:u w:val="single"/>
        </w:rPr>
        <w:t xml:space="preserve"> </w:t>
      </w:r>
      <w:r>
        <w:rPr>
          <w:spacing w:val="6"/>
          <w:sz w:val="24"/>
        </w:rPr>
        <w:t xml:space="preserve"> 日给承包方结算一次工作量， </w:t>
      </w:r>
      <w:r>
        <w:rPr>
          <w:spacing w:val="-6"/>
          <w:sz w:val="24"/>
        </w:rPr>
        <w:t>结算时由项目部的施工员、质量员、核算员、材料员、安全员对已完成的工作面</w:t>
      </w:r>
      <w:r>
        <w:rPr>
          <w:spacing w:val="-10"/>
          <w:sz w:val="24"/>
        </w:rPr>
        <w:t>共同验收，验收合格的进行结算，并报送公司有关部门审核，待审核通过后进行</w:t>
      </w:r>
      <w:r>
        <w:rPr>
          <w:spacing w:val="-9"/>
          <w:sz w:val="24"/>
        </w:rPr>
        <w:t>财务挂账手续，不合格的不予结算，待重新施工达到质量要求时，按实际施工合</w:t>
      </w:r>
      <w:r>
        <w:rPr>
          <w:sz w:val="24"/>
        </w:rPr>
        <w:t>格量进行结算。</w:t>
      </w:r>
    </w:p>
    <w:p>
      <w:pPr>
        <w:pStyle w:val="7"/>
        <w:numPr>
          <w:ilvl w:val="0"/>
          <w:numId w:val="3"/>
        </w:numPr>
        <w:tabs>
          <w:tab w:val="left" w:pos="844"/>
        </w:tabs>
        <w:spacing w:before="0" w:after="0" w:line="362" w:lineRule="auto"/>
        <w:ind w:left="122" w:right="357" w:firstLine="480"/>
        <w:jc w:val="left"/>
        <w:rPr>
          <w:sz w:val="24"/>
        </w:rPr>
      </w:pPr>
      <w:r>
        <w:rPr>
          <w:spacing w:val="-5"/>
          <w:sz w:val="24"/>
        </w:rPr>
        <w:t>各类罚款及返工损失原则上应及时从当月结算单中扣除，且等该分项工程</w:t>
      </w:r>
      <w:r>
        <w:rPr>
          <w:sz w:val="24"/>
        </w:rPr>
        <w:t>年度结算时必须结算清楚。</w:t>
      </w:r>
    </w:p>
    <w:p>
      <w:pPr>
        <w:pStyle w:val="7"/>
        <w:numPr>
          <w:ilvl w:val="0"/>
          <w:numId w:val="3"/>
        </w:numPr>
        <w:tabs>
          <w:tab w:val="left" w:pos="841"/>
        </w:tabs>
        <w:spacing w:before="1" w:after="0" w:line="364" w:lineRule="auto"/>
        <w:ind w:left="120" w:right="505" w:firstLine="480"/>
        <w:jc w:val="left"/>
        <w:rPr>
          <w:sz w:val="24"/>
        </w:rPr>
      </w:pPr>
      <w:r>
        <w:rPr>
          <w:spacing w:val="-1"/>
          <w:sz w:val="24"/>
        </w:rPr>
        <w:t>劳务承包方按劳务发包方确认的结算金额开具足额的税票，转交财务部</w:t>
      </w:r>
      <w:r>
        <w:rPr>
          <w:sz w:val="24"/>
        </w:rPr>
        <w:t>门及时认证挂账并做为支付依据。</w:t>
      </w:r>
    </w:p>
    <w:p>
      <w:pPr>
        <w:spacing w:after="0" w:line="364" w:lineRule="auto"/>
        <w:jc w:val="left"/>
        <w:rPr>
          <w:sz w:val="24"/>
        </w:rPr>
        <w:sectPr>
          <w:pgSz w:w="11910" w:h="16840"/>
          <w:pgMar w:top="1380" w:right="1440" w:bottom="280" w:left="1680" w:header="720" w:footer="720" w:gutter="0"/>
          <w:cols w:space="720" w:num="1"/>
        </w:sectPr>
      </w:pPr>
    </w:p>
    <w:p>
      <w:pPr>
        <w:pStyle w:val="7"/>
        <w:numPr>
          <w:ilvl w:val="0"/>
          <w:numId w:val="3"/>
        </w:numPr>
        <w:tabs>
          <w:tab w:val="left" w:pos="841"/>
          <w:tab w:val="left" w:pos="2519"/>
        </w:tabs>
        <w:spacing w:before="43" w:after="0" w:line="364" w:lineRule="auto"/>
        <w:ind w:left="120" w:right="357" w:firstLine="480"/>
        <w:jc w:val="left"/>
        <w:rPr>
          <w:sz w:val="24"/>
        </w:rPr>
      </w:pPr>
      <w:bookmarkStart w:id="100" w:name="5.劳务承包方纳税人资格属于□一般纳税人□小规模纳税人，在其办理收取进度款时，必"/>
      <w:bookmarkEnd w:id="100"/>
      <w:bookmarkStart w:id="101" w:name="5.劳务承包方纳税人资格属于□一般纳税人□小规模纳税人，在其办理收取进度款时，必"/>
      <w:bookmarkEnd w:id="101"/>
      <w:r>
        <w:rPr>
          <w:sz w:val="24"/>
        </w:rPr>
        <w:t>劳务承包方纳税人资格属于□一般纳税人□小规模纳税人</w:t>
      </w:r>
      <w:r>
        <w:rPr>
          <w:spacing w:val="-94"/>
          <w:sz w:val="24"/>
        </w:rPr>
        <w:t>，</w:t>
      </w:r>
      <w:r>
        <w:rPr>
          <w:sz w:val="24"/>
        </w:rPr>
        <w:t>在其办理收</w:t>
      </w:r>
      <w:r>
        <w:rPr>
          <w:spacing w:val="-17"/>
          <w:sz w:val="24"/>
        </w:rPr>
        <w:t>取</w:t>
      </w:r>
      <w:r>
        <w:rPr>
          <w:sz w:val="24"/>
        </w:rPr>
        <w:t>进度款时</w:t>
      </w:r>
      <w:r>
        <w:rPr>
          <w:spacing w:val="-48"/>
          <w:sz w:val="24"/>
        </w:rPr>
        <w:t>，</w:t>
      </w:r>
      <w:r>
        <w:rPr>
          <w:sz w:val="24"/>
        </w:rPr>
        <w:t>必须同劳务发包方核对增值税发票已开数</w:t>
      </w:r>
      <w:r>
        <w:rPr>
          <w:spacing w:val="-46"/>
          <w:sz w:val="24"/>
        </w:rPr>
        <w:t>、</w:t>
      </w:r>
      <w:r>
        <w:rPr>
          <w:sz w:val="24"/>
        </w:rPr>
        <w:t>应开数即保证累计已开</w:t>
      </w:r>
      <w:r>
        <w:rPr>
          <w:spacing w:val="-17"/>
          <w:sz w:val="24"/>
        </w:rPr>
        <w:t>具</w:t>
      </w:r>
      <w:r>
        <w:rPr>
          <w:sz w:val="24"/>
        </w:rPr>
        <w:t>的增值税发票同实际劳务结算单数据相一致</w:t>
      </w:r>
      <w:r>
        <w:rPr>
          <w:spacing w:val="-94"/>
          <w:sz w:val="24"/>
        </w:rPr>
        <w:t>，</w:t>
      </w:r>
      <w:r>
        <w:rPr>
          <w:sz w:val="24"/>
        </w:rPr>
        <w:t>同时由劳务承包方一并提供供应</w:t>
      </w:r>
      <w:r>
        <w:rPr>
          <w:spacing w:val="-17"/>
          <w:sz w:val="24"/>
        </w:rPr>
        <w:t>商</w:t>
      </w:r>
      <w:r>
        <w:rPr>
          <w:sz w:val="24"/>
        </w:rPr>
        <w:t>防伪税控系统开具</w:t>
      </w:r>
      <w:r>
        <w:rPr>
          <w:spacing w:val="-32"/>
          <w:sz w:val="24"/>
        </w:rPr>
        <w:t>的</w:t>
      </w:r>
      <w:r>
        <w:rPr>
          <w:sz w:val="24"/>
        </w:rPr>
        <w:t>“应税劳务清单</w:t>
      </w:r>
      <w:r>
        <w:rPr>
          <w:spacing w:val="-32"/>
          <w:sz w:val="24"/>
        </w:rPr>
        <w:t>”</w:t>
      </w:r>
      <w:r>
        <w:rPr>
          <w:sz w:val="24"/>
        </w:rPr>
        <w:t>和增值税发票</w:t>
      </w:r>
      <w:r>
        <w:rPr>
          <w:spacing w:val="-34"/>
          <w:sz w:val="24"/>
        </w:rPr>
        <w:t>，</w:t>
      </w:r>
      <w:r>
        <w:rPr>
          <w:sz w:val="24"/>
        </w:rPr>
        <w:t>否则劳务承包方承担合</w:t>
      </w:r>
      <w:r>
        <w:rPr>
          <w:spacing w:val="-13"/>
          <w:sz w:val="24"/>
        </w:rPr>
        <w:t>同</w:t>
      </w:r>
      <w:r>
        <w:rPr>
          <w:sz w:val="24"/>
        </w:rPr>
        <w:t>总额（含增值税）</w:t>
      </w:r>
      <w:r>
        <w:rPr>
          <w:sz w:val="24"/>
          <w:u w:val="single"/>
        </w:rPr>
        <w:t xml:space="preserve"> </w:t>
      </w:r>
      <w:r>
        <w:rPr>
          <w:sz w:val="24"/>
          <w:u w:val="single"/>
        </w:rPr>
        <w:tab/>
      </w:r>
      <w:r>
        <w:rPr>
          <w:sz w:val="24"/>
        </w:rPr>
        <w:t>%的违约金，劳务发包方有权不予付款；由于劳务承包方的原因致使验工计价结算有误或劳务承包方提供增值税发票被相关部门查实为虚开虚假等问题而使得劳务发包方蒙受损失的</w:t>
      </w:r>
      <w:r>
        <w:rPr>
          <w:spacing w:val="-94"/>
          <w:sz w:val="24"/>
        </w:rPr>
        <w:t>，</w:t>
      </w:r>
      <w:r>
        <w:rPr>
          <w:sz w:val="24"/>
        </w:rPr>
        <w:t>劳务承包方除赔偿劳务发包方</w:t>
      </w:r>
      <w:r>
        <w:rPr>
          <w:spacing w:val="-17"/>
          <w:sz w:val="24"/>
        </w:rPr>
        <w:t>实</w:t>
      </w:r>
      <w:r>
        <w:rPr>
          <w:sz w:val="24"/>
        </w:rPr>
        <w:t>际损失的部分外还要承担全部责任。</w:t>
      </w:r>
    </w:p>
    <w:p>
      <w:pPr>
        <w:pStyle w:val="7"/>
        <w:numPr>
          <w:ilvl w:val="0"/>
          <w:numId w:val="3"/>
        </w:numPr>
        <w:tabs>
          <w:tab w:val="left" w:pos="841"/>
        </w:tabs>
        <w:spacing w:before="0" w:after="0" w:line="305" w:lineRule="exact"/>
        <w:ind w:left="841" w:right="0" w:hanging="241"/>
        <w:jc w:val="left"/>
        <w:rPr>
          <w:sz w:val="24"/>
        </w:rPr>
      </w:pPr>
      <w:bookmarkStart w:id="102" w:name="6.支付劳务的方式采用电汇、网银或承兑汇票。"/>
      <w:bookmarkEnd w:id="102"/>
      <w:bookmarkStart w:id="103" w:name="6.支付劳务的方式采用电汇、网银或承兑汇票。"/>
      <w:bookmarkEnd w:id="103"/>
      <w:r>
        <w:rPr>
          <w:sz w:val="24"/>
        </w:rPr>
        <w:t>支付劳务的方式采用电汇、网银或承兑汇票。</w:t>
      </w:r>
    </w:p>
    <w:p>
      <w:pPr>
        <w:pStyle w:val="7"/>
        <w:numPr>
          <w:ilvl w:val="0"/>
          <w:numId w:val="3"/>
        </w:numPr>
        <w:tabs>
          <w:tab w:val="left" w:pos="841"/>
        </w:tabs>
        <w:spacing w:before="158" w:after="0" w:line="364" w:lineRule="auto"/>
        <w:ind w:left="120" w:right="505" w:firstLine="480"/>
        <w:jc w:val="both"/>
        <w:rPr>
          <w:sz w:val="24"/>
        </w:rPr>
      </w:pPr>
      <w:r>
        <w:rPr>
          <w:spacing w:val="-1"/>
          <w:sz w:val="24"/>
        </w:rPr>
        <w:t>本工程竣工结算条件：分包范围内的工程全部完成→经劳务发包方、监理单位验收合格→工完场清→同步考勤资料后全部劳务人员退场→书面提交结</w:t>
      </w:r>
      <w:r>
        <w:rPr>
          <w:sz w:val="24"/>
        </w:rPr>
        <w:t>算资料。</w:t>
      </w:r>
    </w:p>
    <w:p>
      <w:pPr>
        <w:spacing w:before="0" w:line="362" w:lineRule="auto"/>
        <w:ind w:left="662" w:right="6676" w:firstLine="0"/>
        <w:jc w:val="left"/>
        <w:rPr>
          <w:sz w:val="24"/>
        </w:rPr>
      </w:pPr>
      <w:r>
        <w:rPr>
          <w:b/>
          <w:sz w:val="24"/>
        </w:rPr>
        <w:t>八、付款方式</w:t>
      </w:r>
      <w:r>
        <w:rPr>
          <w:sz w:val="24"/>
        </w:rPr>
        <w:t>1.付款方式：</w:t>
      </w:r>
    </w:p>
    <w:p>
      <w:pPr>
        <w:pStyle w:val="3"/>
        <w:spacing w:before="4"/>
        <w:ind w:left="1142"/>
      </w:pPr>
      <w:r>
        <w:t>□无预付款，按进度款支付。</w:t>
      </w:r>
    </w:p>
    <w:p>
      <w:pPr>
        <w:pStyle w:val="3"/>
        <w:tabs>
          <w:tab w:val="left" w:pos="4022"/>
          <w:tab w:val="left" w:pos="8102"/>
        </w:tabs>
        <w:spacing w:before="158" w:line="364" w:lineRule="auto"/>
        <w:ind w:left="182" w:right="321" w:firstLine="960"/>
      </w:pPr>
      <w:r>
        <w:t>□有预付款，预付款</w:t>
      </w:r>
      <w:r>
        <w:rPr>
          <w:u w:val="single"/>
        </w:rPr>
        <w:t xml:space="preserve"> </w:t>
      </w:r>
      <w:r>
        <w:rPr>
          <w:u w:val="single"/>
        </w:rPr>
        <w:tab/>
      </w:r>
      <w:r>
        <w:t>%，扣回方式按进度款支付按次扣回</w:t>
      </w:r>
      <w:r>
        <w:rPr>
          <w:u w:val="single"/>
        </w:rPr>
        <w:t xml:space="preserve"> </w:t>
      </w:r>
      <w:r>
        <w:rPr>
          <w:u w:val="single"/>
        </w:rPr>
        <w:tab/>
      </w:r>
      <w:r>
        <w:rPr>
          <w:spacing w:val="-9"/>
        </w:rPr>
        <w:t xml:space="preserve">%， </w:t>
      </w:r>
      <w:r>
        <w:t>直至扣清为止。</w:t>
      </w:r>
    </w:p>
    <w:p>
      <w:pPr>
        <w:pStyle w:val="3"/>
        <w:spacing w:line="306" w:lineRule="exact"/>
        <w:ind w:left="662"/>
      </w:pPr>
      <w:r>
        <w:t>2.进度款支付方式：</w:t>
      </w:r>
    </w:p>
    <w:p>
      <w:pPr>
        <w:pStyle w:val="3"/>
        <w:spacing w:before="161"/>
        <w:ind w:left="1020"/>
      </w:pPr>
      <w:r>
        <w:t>□按项目施工节点支付 □基础筏板完成</w:t>
      </w:r>
    </w:p>
    <w:p>
      <w:pPr>
        <w:pStyle w:val="3"/>
        <w:spacing w:before="158"/>
        <w:ind w:left="3540"/>
      </w:pPr>
      <w:r>
        <w:t>□基础筏板至±0.000 完成</w:t>
      </w:r>
    </w:p>
    <w:p>
      <w:pPr>
        <w:pStyle w:val="3"/>
        <w:tabs>
          <w:tab w:val="left" w:pos="5399"/>
        </w:tabs>
        <w:spacing w:before="160"/>
        <w:ind w:left="3540"/>
      </w:pPr>
      <w:r>
        <w:t>□±0.000</w:t>
      </w:r>
      <w:r>
        <w:rPr>
          <w:spacing w:val="-60"/>
        </w:rPr>
        <w:t xml:space="preserve"> </w:t>
      </w:r>
      <w:r>
        <w:t>至</w:t>
      </w:r>
      <w:r>
        <w:rPr>
          <w:u w:val="single"/>
        </w:rPr>
        <w:t xml:space="preserve"> </w:t>
      </w:r>
      <w:r>
        <w:rPr>
          <w:u w:val="single"/>
        </w:rPr>
        <w:tab/>
      </w:r>
      <w:r>
        <w:t>层顶板</w:t>
      </w:r>
    </w:p>
    <w:p>
      <w:pPr>
        <w:pStyle w:val="3"/>
        <w:tabs>
          <w:tab w:val="left" w:pos="4502"/>
        </w:tabs>
        <w:spacing w:before="158"/>
        <w:ind w:left="3542"/>
      </w:pPr>
      <w:r>
        <w:t>□</w:t>
      </w:r>
      <w:r>
        <w:rPr>
          <w:u w:val="single"/>
        </w:rPr>
        <w:t xml:space="preserve"> </w:t>
      </w:r>
      <w:r>
        <w:rPr>
          <w:u w:val="single"/>
        </w:rPr>
        <w:tab/>
      </w:r>
      <w:r>
        <w:t>层至主体</w:t>
      </w:r>
    </w:p>
    <w:p>
      <w:pPr>
        <w:pStyle w:val="3"/>
        <w:spacing w:before="161"/>
        <w:ind w:left="3542"/>
      </w:pPr>
      <w:r>
        <w:t>□屋面电梯机房、风机房、水箱间及花架梁</w:t>
      </w:r>
    </w:p>
    <w:p>
      <w:pPr>
        <w:pStyle w:val="3"/>
        <w:spacing w:before="160"/>
        <w:ind w:left="3542"/>
      </w:pPr>
      <w:r>
        <w:t>□工程竣工验收结束付款</w:t>
      </w:r>
    </w:p>
    <w:p>
      <w:pPr>
        <w:pStyle w:val="3"/>
        <w:tabs>
          <w:tab w:val="left" w:pos="3539"/>
          <w:tab w:val="left" w:pos="4799"/>
          <w:tab w:val="left" w:pos="8099"/>
        </w:tabs>
        <w:spacing w:before="159"/>
        <w:ind w:left="1020"/>
      </w:pPr>
      <w:r>
        <w:t>□按时间节点支付</w:t>
      </w:r>
      <w:r>
        <w:tab/>
      </w:r>
      <w:r>
        <w:t>□每月</w:t>
      </w:r>
      <w:r>
        <w:rPr>
          <w:u w:val="single"/>
        </w:rPr>
        <w:t xml:space="preserve"> </w:t>
      </w:r>
      <w:r>
        <w:rPr>
          <w:u w:val="single"/>
        </w:rPr>
        <w:tab/>
      </w:r>
      <w:r>
        <w:t>日前支付</w:t>
      </w:r>
      <w:r>
        <w:rPr>
          <w:rFonts w:hint="eastAsia"/>
          <w:u w:val="single"/>
          <w:lang w:val="en-US" w:eastAsia="zh-CN"/>
        </w:rPr>
        <w:t xml:space="preserve">  </w:t>
      </w:r>
      <w:r>
        <w:rPr>
          <w:u w:val="single"/>
        </w:rPr>
        <w:t>%</w:t>
      </w:r>
    </w:p>
    <w:p>
      <w:pPr>
        <w:pStyle w:val="3"/>
        <w:tabs>
          <w:tab w:val="left" w:pos="7499"/>
        </w:tabs>
        <w:spacing w:before="158"/>
        <w:ind w:left="3540"/>
      </w:pPr>
      <w:r>
        <w:t>□每季度末支付</w:t>
      </w:r>
      <w:r>
        <w:rPr>
          <w:rFonts w:hint="eastAsia"/>
          <w:u w:val="single"/>
          <w:lang w:val="en-US" w:eastAsia="zh-CN"/>
        </w:rPr>
        <w:t xml:space="preserve">   </w:t>
      </w:r>
      <w:r>
        <w:rPr>
          <w:u w:val="single"/>
        </w:rPr>
        <w:t>%</w:t>
      </w:r>
    </w:p>
    <w:p>
      <w:pPr>
        <w:pStyle w:val="3"/>
        <w:tabs>
          <w:tab w:val="left" w:pos="7019"/>
        </w:tabs>
        <w:spacing w:before="160"/>
        <w:ind w:left="3540"/>
      </w:pPr>
      <w:r>
        <w:t>□年底支付</w:t>
      </w:r>
      <w:r>
        <w:rPr>
          <w:rFonts w:hint="eastAsia"/>
          <w:u w:val="single"/>
          <w:lang w:val="en-US" w:eastAsia="zh-CN"/>
        </w:rPr>
        <w:t xml:space="preserve">   </w:t>
      </w:r>
      <w:r>
        <w:rPr>
          <w:u w:val="single"/>
        </w:rPr>
        <w:t>%</w:t>
      </w:r>
    </w:p>
    <w:p>
      <w:pPr>
        <w:tabs>
          <w:tab w:val="left" w:pos="5939"/>
        </w:tabs>
        <w:spacing w:before="158" w:line="364" w:lineRule="auto"/>
        <w:ind w:left="600" w:right="2844" w:firstLine="480"/>
        <w:jc w:val="left"/>
        <w:rPr>
          <w:b/>
          <w:sz w:val="24"/>
        </w:rPr>
      </w:pPr>
      <w:r>
        <w:rPr>
          <w:sz w:val="24"/>
        </w:rPr>
        <w:t>□其他时间节点支付约定</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 xml:space="preserve"> </w:t>
      </w:r>
      <w:r>
        <w:rPr>
          <w:b/>
          <w:sz w:val="24"/>
        </w:rPr>
        <w:t>九、劳务发包劳务承包双方责任和义务</w:t>
      </w:r>
    </w:p>
    <w:p>
      <w:pPr>
        <w:pStyle w:val="3"/>
        <w:spacing w:before="1"/>
        <w:ind w:left="600"/>
      </w:pPr>
      <w:r>
        <w:t>(一)劳务发包方责任与义务</w:t>
      </w:r>
    </w:p>
    <w:p>
      <w:pPr>
        <w:spacing w:after="0"/>
        <w:sectPr>
          <w:pgSz w:w="11910" w:h="16840"/>
          <w:pgMar w:top="1380" w:right="1440" w:bottom="280" w:left="1680" w:header="720" w:footer="720" w:gutter="0"/>
          <w:cols w:space="720" w:num="1"/>
        </w:sectPr>
      </w:pPr>
    </w:p>
    <w:p>
      <w:pPr>
        <w:pStyle w:val="7"/>
        <w:numPr>
          <w:ilvl w:val="0"/>
          <w:numId w:val="4"/>
        </w:numPr>
        <w:tabs>
          <w:tab w:val="left" w:pos="841"/>
        </w:tabs>
        <w:spacing w:before="43" w:after="0" w:line="364" w:lineRule="auto"/>
        <w:ind w:left="120" w:right="385" w:firstLine="480"/>
        <w:jc w:val="left"/>
        <w:rPr>
          <w:sz w:val="24"/>
        </w:rPr>
      </w:pPr>
      <w:r>
        <w:rPr>
          <w:spacing w:val="-8"/>
          <w:sz w:val="24"/>
        </w:rPr>
        <w:t xml:space="preserve">与劳务承包方及时签订《安全生产协议书》，明确双方的安全管理职责， </w:t>
      </w:r>
      <w:r>
        <w:rPr>
          <w:sz w:val="24"/>
        </w:rPr>
        <w:t>负责组织施工过程中的技术交底、安全交底，并做好交底记录。</w:t>
      </w:r>
    </w:p>
    <w:p>
      <w:pPr>
        <w:pStyle w:val="7"/>
        <w:numPr>
          <w:ilvl w:val="0"/>
          <w:numId w:val="4"/>
        </w:numPr>
        <w:tabs>
          <w:tab w:val="left" w:pos="841"/>
        </w:tabs>
        <w:spacing w:before="0" w:after="0" w:line="364" w:lineRule="auto"/>
        <w:ind w:left="120" w:right="265" w:firstLine="480"/>
        <w:jc w:val="left"/>
        <w:rPr>
          <w:sz w:val="24"/>
        </w:rPr>
      </w:pPr>
      <w:r>
        <w:rPr>
          <w:spacing w:val="-10"/>
          <w:sz w:val="24"/>
        </w:rPr>
        <w:t>制定各项管理目标和管理制度；组织编制《专项施工方案》</w:t>
      </w:r>
      <w:r>
        <w:rPr>
          <w:spacing w:val="-24"/>
          <w:sz w:val="24"/>
        </w:rPr>
        <w:t>、《施工进度计</w:t>
      </w:r>
      <w:r>
        <w:rPr>
          <w:spacing w:val="-19"/>
          <w:sz w:val="24"/>
        </w:rPr>
        <w:t>划》、《物资需用计划》等；实施对工程质量、工期进度、安全生产、文明施工、</w:t>
      </w:r>
      <w:r>
        <w:rPr>
          <w:sz w:val="24"/>
        </w:rPr>
        <w:t>计量检测、试化检验的控制、监督、检查和验收。</w:t>
      </w:r>
    </w:p>
    <w:p>
      <w:pPr>
        <w:pStyle w:val="7"/>
        <w:numPr>
          <w:ilvl w:val="0"/>
          <w:numId w:val="4"/>
        </w:numPr>
        <w:tabs>
          <w:tab w:val="left" w:pos="841"/>
        </w:tabs>
        <w:spacing w:before="0" w:after="0" w:line="364" w:lineRule="auto"/>
        <w:ind w:left="120" w:right="237" w:firstLine="480"/>
        <w:jc w:val="left"/>
        <w:rPr>
          <w:sz w:val="24"/>
        </w:rPr>
      </w:pPr>
      <w:r>
        <w:rPr>
          <w:spacing w:val="-10"/>
          <w:sz w:val="24"/>
        </w:rPr>
        <w:t>协调建设方、监理方、设计方等现场各方的工作关系。根据工程实际情况</w:t>
      </w:r>
      <w:r>
        <w:rPr>
          <w:spacing w:val="-20"/>
          <w:sz w:val="24"/>
        </w:rPr>
        <w:t>要求劳务承包方增减施工人数、操作工种，满足施工生产需要。对施工质量低劣、</w:t>
      </w:r>
      <w:r>
        <w:rPr>
          <w:sz w:val="24"/>
        </w:rPr>
        <w:t>技术差、不服从指挥、有违法乱纪行为的人员有权予以清退。</w:t>
      </w:r>
    </w:p>
    <w:p>
      <w:pPr>
        <w:pStyle w:val="7"/>
        <w:numPr>
          <w:ilvl w:val="0"/>
          <w:numId w:val="4"/>
        </w:numPr>
        <w:tabs>
          <w:tab w:val="left" w:pos="841"/>
        </w:tabs>
        <w:spacing w:before="0" w:after="0" w:line="362" w:lineRule="auto"/>
        <w:ind w:left="120" w:right="505" w:firstLine="480"/>
        <w:jc w:val="left"/>
        <w:rPr>
          <w:sz w:val="24"/>
        </w:rPr>
      </w:pPr>
      <w:r>
        <w:rPr>
          <w:spacing w:val="-1"/>
          <w:sz w:val="24"/>
        </w:rPr>
        <w:t>统筹安排、协调解决劳务承包方劳务人员生活临时设施、用水、用电及</w:t>
      </w:r>
      <w:r>
        <w:rPr>
          <w:sz w:val="24"/>
        </w:rPr>
        <w:t>劳务人员各种入场手续，其费用由劳务承包方自理。</w:t>
      </w:r>
    </w:p>
    <w:p>
      <w:pPr>
        <w:pStyle w:val="7"/>
        <w:numPr>
          <w:ilvl w:val="0"/>
          <w:numId w:val="4"/>
        </w:numPr>
        <w:tabs>
          <w:tab w:val="left" w:pos="841"/>
        </w:tabs>
        <w:spacing w:before="0" w:after="0" w:line="364" w:lineRule="auto"/>
        <w:ind w:left="120" w:right="357" w:firstLine="480"/>
        <w:jc w:val="left"/>
        <w:rPr>
          <w:sz w:val="24"/>
        </w:rPr>
      </w:pPr>
      <w:r>
        <w:rPr>
          <w:spacing w:val="-4"/>
          <w:sz w:val="24"/>
        </w:rPr>
        <w:t>劳务承包方有明显延误工期行为且不能按劳务发包方要求及时整改</w:t>
      </w:r>
      <w:r>
        <w:rPr>
          <w:sz w:val="24"/>
        </w:rPr>
        <w:t>（</w:t>
      </w:r>
      <w:r>
        <w:rPr>
          <w:spacing w:val="-9"/>
          <w:sz w:val="24"/>
        </w:rPr>
        <w:t>产生</w:t>
      </w:r>
      <w:r>
        <w:rPr>
          <w:sz w:val="24"/>
        </w:rPr>
        <w:t>费用由劳务承包方自行承担）的，劳务发包方有权中途解除合同。</w:t>
      </w:r>
    </w:p>
    <w:p>
      <w:pPr>
        <w:pStyle w:val="7"/>
        <w:numPr>
          <w:ilvl w:val="0"/>
          <w:numId w:val="4"/>
        </w:numPr>
        <w:tabs>
          <w:tab w:val="left" w:pos="841"/>
        </w:tabs>
        <w:spacing w:before="1" w:after="0" w:line="364" w:lineRule="auto"/>
        <w:ind w:left="120" w:right="357" w:firstLine="480"/>
        <w:jc w:val="left"/>
        <w:rPr>
          <w:sz w:val="24"/>
        </w:rPr>
      </w:pPr>
      <w:r>
        <w:rPr>
          <w:sz w:val="24"/>
        </w:rPr>
        <w:t>对所有入场人员进行安全教育和全过程监管劳务承包方的劳务实名制管</w:t>
      </w:r>
      <w:r>
        <w:rPr>
          <w:spacing w:val="-11"/>
          <w:sz w:val="24"/>
        </w:rPr>
        <w:t>理，并建立真实有效的个人档案信息。同时监管督促劳务承包方按照国家及地方</w:t>
      </w:r>
      <w:r>
        <w:rPr>
          <w:spacing w:val="-6"/>
          <w:sz w:val="24"/>
        </w:rPr>
        <w:t>有关规定为进驻施工现场的所有人员办理“规范用工及劳动治安备案手续”并承</w:t>
      </w:r>
      <w:r>
        <w:rPr>
          <w:sz w:val="24"/>
        </w:rPr>
        <w:t>担相应费用。</w:t>
      </w:r>
    </w:p>
    <w:p>
      <w:pPr>
        <w:pStyle w:val="7"/>
        <w:numPr>
          <w:ilvl w:val="0"/>
          <w:numId w:val="4"/>
        </w:numPr>
        <w:tabs>
          <w:tab w:val="left" w:pos="841"/>
          <w:tab w:val="left" w:pos="8485"/>
        </w:tabs>
        <w:spacing w:before="0" w:after="0" w:line="364" w:lineRule="auto"/>
        <w:ind w:left="120" w:right="265" w:firstLine="480"/>
        <w:jc w:val="left"/>
        <w:rPr>
          <w:rFonts w:ascii="Times New Roman" w:eastAsia="Times New Roman"/>
          <w:sz w:val="24"/>
        </w:rPr>
      </w:pPr>
      <w:r>
        <w:rPr>
          <w:sz w:val="24"/>
        </w:rPr>
        <w:t>劳务承包方不得将本合同内的分包作业内容再二次转包或再分包给他人</w:t>
      </w:r>
      <w:r>
        <w:rPr>
          <w:spacing w:val="-19"/>
          <w:sz w:val="24"/>
        </w:rPr>
        <w:t xml:space="preserve">； </w:t>
      </w:r>
      <w:r>
        <w:rPr>
          <w:sz w:val="24"/>
        </w:rPr>
        <w:t>不得以劳务发包方或劳务发包方管理人员的名义与任何第三方签订采购、租赁</w:t>
      </w:r>
      <w:r>
        <w:rPr>
          <w:spacing w:val="-19"/>
          <w:sz w:val="24"/>
        </w:rPr>
        <w:t>、</w:t>
      </w:r>
      <w:r>
        <w:rPr>
          <w:sz w:val="24"/>
        </w:rPr>
        <w:t>劳动等各类合同</w:t>
      </w:r>
      <w:r>
        <w:rPr>
          <w:spacing w:val="-94"/>
          <w:sz w:val="24"/>
        </w:rPr>
        <w:t>，</w:t>
      </w:r>
      <w:r>
        <w:rPr>
          <w:sz w:val="24"/>
        </w:rPr>
        <w:t>否则劳务发包方有权立即解除合同并追究劳务承包方承担全部</w:t>
      </w:r>
      <w:r>
        <w:rPr>
          <w:spacing w:val="-1"/>
          <w:sz w:val="24"/>
        </w:rPr>
        <w:t>经</w:t>
      </w:r>
      <w:r>
        <w:rPr>
          <w:sz w:val="24"/>
        </w:rPr>
        <w:t>济责任和一切法律后果</w:t>
      </w:r>
      <w:r>
        <w:rPr>
          <w:spacing w:val="-48"/>
          <w:sz w:val="24"/>
        </w:rPr>
        <w:t>。</w:t>
      </w:r>
      <w:r>
        <w:rPr>
          <w:sz w:val="24"/>
        </w:rPr>
        <w:t>或按劳务承包方每发生一起纠纷</w:t>
      </w:r>
      <w:r>
        <w:rPr>
          <w:spacing w:val="-46"/>
          <w:sz w:val="24"/>
        </w:rPr>
        <w:t>，</w:t>
      </w:r>
      <w:r>
        <w:rPr>
          <w:sz w:val="24"/>
        </w:rPr>
        <w:t>按纠纷标的额的</w:t>
      </w:r>
      <w:r>
        <w:rPr>
          <w:rFonts w:ascii="Times New Roman" w:eastAsia="Times New Roman"/>
          <w:sz w:val="24"/>
          <w:u w:val="single"/>
        </w:rPr>
        <w:t xml:space="preserve"> </w:t>
      </w:r>
      <w:r>
        <w:rPr>
          <w:rFonts w:ascii="Times New Roman" w:eastAsia="Times New Roman"/>
          <w:sz w:val="24"/>
          <w:u w:val="single"/>
        </w:rPr>
        <w:tab/>
      </w:r>
    </w:p>
    <w:p>
      <w:pPr>
        <w:pStyle w:val="3"/>
        <w:spacing w:line="362" w:lineRule="auto"/>
        <w:ind w:left="600" w:right="265" w:hanging="480"/>
      </w:pPr>
      <w:r>
        <w:rPr>
          <w:rFonts w:ascii="Times New Roman" w:eastAsia="Times New Roman"/>
          <w:u w:val="single"/>
        </w:rPr>
        <w:t xml:space="preserve">  </w:t>
      </w:r>
      <w:r>
        <w:t>%对劳务承包方进行处罚，发生聚集闹事超过两起的劳务发包方有权解除合同。8.按本合同约定给付劳务承包方劳动报酬。劳务发包方有权在支付的当期进</w:t>
      </w:r>
    </w:p>
    <w:p>
      <w:pPr>
        <w:pStyle w:val="3"/>
        <w:spacing w:line="364" w:lineRule="auto"/>
        <w:ind w:right="265"/>
      </w:pPr>
      <w:r>
        <w:t>度款中扣除当期或延期追偿的各种罚款、违约金、赔偿金、保证金、履约金或保修金等不开具发票，劳务承包方发生的违约金赔偿金同其营业额（收入）无关。</w:t>
      </w:r>
    </w:p>
    <w:p>
      <w:pPr>
        <w:pStyle w:val="2"/>
        <w:tabs>
          <w:tab w:val="left" w:pos="5300"/>
        </w:tabs>
        <w:spacing w:line="306" w:lineRule="exact"/>
        <w:ind w:left="662"/>
        <w:rPr>
          <w:rFonts w:ascii="Times New Roman" w:eastAsia="Times New Roman"/>
          <w:b w:val="0"/>
          <w:bCs w:val="0"/>
        </w:rPr>
      </w:pPr>
      <w:r>
        <w:rPr>
          <w:b w:val="0"/>
          <w:bCs w:val="0"/>
          <w:w w:val="95"/>
        </w:rPr>
        <w:t>9.劳务发包供资源，包括：</w:t>
      </w:r>
      <w:r>
        <w:rPr>
          <w:rFonts w:ascii="Times New Roman" w:eastAsia="Times New Roman"/>
          <w:b w:val="0"/>
          <w:bCs w:val="0"/>
          <w:u w:val="single"/>
        </w:rPr>
        <w:t xml:space="preserve"> </w:t>
      </w:r>
      <w:r>
        <w:rPr>
          <w:rFonts w:ascii="Times New Roman" w:eastAsia="Times New Roman"/>
          <w:b w:val="0"/>
          <w:bCs w:val="0"/>
          <w:u w:val="single"/>
        </w:rPr>
        <w:tab/>
      </w:r>
    </w:p>
    <w:p>
      <w:pPr>
        <w:pStyle w:val="3"/>
        <w:spacing w:before="158" w:line="364" w:lineRule="auto"/>
        <w:ind w:right="357" w:firstLine="480"/>
        <w:jc w:val="both"/>
      </w:pPr>
      <w:r>
        <w:rPr>
          <w:b w:val="0"/>
          <w:bCs w:val="0"/>
          <w:spacing w:val="-7"/>
        </w:rPr>
        <w:t>严格执行劳务发包方限额领料制度，</w:t>
      </w:r>
      <w:r>
        <w:rPr>
          <w:b w:val="0"/>
          <w:bCs w:val="0"/>
        </w:rPr>
        <w:t>超过以下约定损耗率</w:t>
      </w:r>
      <w:r>
        <w:rPr>
          <w:spacing w:val="-2"/>
        </w:rPr>
        <w:t>的部分由劳务承包</w:t>
      </w:r>
      <w:r>
        <w:t>方按市场价格外加</w:t>
      </w:r>
      <w:r>
        <w:rPr>
          <w:u w:val="single"/>
        </w:rPr>
        <w:t xml:space="preserve"> </w:t>
      </w:r>
      <w:r>
        <w:t xml:space="preserve"> %的管理费赔偿给劳务发包方。严格按操作规程使用劳务</w:t>
      </w:r>
      <w:r>
        <w:rPr>
          <w:spacing w:val="-7"/>
        </w:rPr>
        <w:t>发包方提供的设备及料具，因此造成的损失由劳务承包方承担。严禁倒卖、盗卖</w:t>
      </w:r>
      <w:r>
        <w:t>劳务发包供资源（含废料</w:t>
      </w:r>
      <w:r>
        <w:rPr>
          <w:spacing w:val="-120"/>
        </w:rPr>
        <w:t>）</w:t>
      </w:r>
      <w:r>
        <w:t>，一经发现按劳务承包方获利部分进行十倍赔偿给劳务发包方。</w:t>
      </w:r>
    </w:p>
    <w:p>
      <w:pPr>
        <w:spacing w:after="0" w:line="364" w:lineRule="auto"/>
        <w:jc w:val="both"/>
        <w:sectPr>
          <w:pgSz w:w="11910" w:h="16840"/>
          <w:pgMar w:top="1380" w:right="1440" w:bottom="280" w:left="1680" w:header="720" w:footer="720" w:gutter="0"/>
          <w:cols w:space="720" w:num="1"/>
        </w:sectPr>
      </w:pPr>
    </w:p>
    <w:p>
      <w:pPr>
        <w:pStyle w:val="3"/>
        <w:spacing w:before="43"/>
        <w:ind w:left="600"/>
      </w:pPr>
      <w:r>
        <w:t>(二)劳务承包方责任与义务</w:t>
      </w:r>
    </w:p>
    <w:p>
      <w:pPr>
        <w:pStyle w:val="7"/>
        <w:numPr>
          <w:ilvl w:val="0"/>
          <w:numId w:val="5"/>
        </w:numPr>
        <w:tabs>
          <w:tab w:val="left" w:pos="841"/>
        </w:tabs>
        <w:spacing w:before="160" w:after="0" w:line="364" w:lineRule="auto"/>
        <w:ind w:left="120" w:right="357" w:firstLine="480"/>
        <w:jc w:val="both"/>
        <w:rPr>
          <w:sz w:val="24"/>
        </w:rPr>
      </w:pPr>
      <w:r>
        <w:rPr>
          <w:spacing w:val="-9"/>
          <w:sz w:val="24"/>
        </w:rPr>
        <w:t>遵守国家政策和法律法规，遵守工程建设安全有关管理规定和劳务发包方</w:t>
      </w:r>
      <w:r>
        <w:rPr>
          <w:spacing w:val="-10"/>
          <w:sz w:val="24"/>
        </w:rPr>
        <w:t>的规章制度。做好安全、文明施工、环境、职业健康安全、劳动保护等工作。严</w:t>
      </w:r>
      <w:r>
        <w:rPr>
          <w:spacing w:val="-9"/>
          <w:sz w:val="24"/>
        </w:rPr>
        <w:t>格按安全标准、设计图纸、验收规范、有关技术标准及《施工组织设计》精心组</w:t>
      </w:r>
      <w:r>
        <w:rPr>
          <w:sz w:val="24"/>
        </w:rPr>
        <w:t>织施工。</w:t>
      </w:r>
    </w:p>
    <w:p>
      <w:pPr>
        <w:pStyle w:val="7"/>
        <w:numPr>
          <w:ilvl w:val="0"/>
          <w:numId w:val="5"/>
        </w:numPr>
        <w:tabs>
          <w:tab w:val="left" w:pos="841"/>
          <w:tab w:val="left" w:pos="2579"/>
          <w:tab w:val="left" w:pos="3839"/>
          <w:tab w:val="left" w:pos="5605"/>
        </w:tabs>
        <w:spacing w:before="0" w:after="0" w:line="364" w:lineRule="auto"/>
        <w:ind w:left="120" w:right="237" w:firstLine="480"/>
        <w:jc w:val="left"/>
        <w:rPr>
          <w:sz w:val="24"/>
        </w:rPr>
      </w:pPr>
      <w:r>
        <w:rPr>
          <w:sz w:val="24"/>
        </w:rPr>
        <w:t>根据业主或劳务发包方的计划要求</w:t>
      </w:r>
      <w:r>
        <w:rPr>
          <w:spacing w:val="-48"/>
          <w:sz w:val="24"/>
        </w:rPr>
        <w:t>，</w:t>
      </w:r>
      <w:r>
        <w:rPr>
          <w:sz w:val="24"/>
        </w:rPr>
        <w:t>科学合理的计划组织作业</w:t>
      </w:r>
      <w:r>
        <w:rPr>
          <w:spacing w:val="-46"/>
          <w:sz w:val="24"/>
        </w:rPr>
        <w:t>，</w:t>
      </w:r>
      <w:r>
        <w:rPr>
          <w:sz w:val="24"/>
        </w:rPr>
        <w:t>投入足够的资源保证工期</w:t>
      </w:r>
      <w:r>
        <w:rPr>
          <w:spacing w:val="-108"/>
          <w:sz w:val="24"/>
        </w:rPr>
        <w:t>，</w:t>
      </w:r>
      <w:r>
        <w:rPr>
          <w:sz w:val="24"/>
        </w:rPr>
        <w:t>承担由于自身责任造成的质量返修</w:t>
      </w:r>
      <w:r>
        <w:rPr>
          <w:spacing w:val="-106"/>
          <w:sz w:val="24"/>
        </w:rPr>
        <w:t>、</w:t>
      </w:r>
      <w:r>
        <w:rPr>
          <w:sz w:val="24"/>
        </w:rPr>
        <w:t>工期拖延损失及各种罚款</w:t>
      </w:r>
      <w:r>
        <w:rPr>
          <w:spacing w:val="-16"/>
          <w:sz w:val="24"/>
        </w:rPr>
        <w:t>。</w:t>
      </w:r>
      <w:r>
        <w:rPr>
          <w:sz w:val="24"/>
        </w:rPr>
        <w:t>工程质量或文明施工按规范、标准验收合格，但又不能达到约定标准和目标的， 分包结算单价下浮</w:t>
      </w:r>
      <w:r>
        <w:rPr>
          <w:sz w:val="24"/>
          <w:u w:val="single"/>
        </w:rPr>
        <w:t xml:space="preserve"> </w:t>
      </w:r>
      <w:r>
        <w:rPr>
          <w:sz w:val="24"/>
          <w:u w:val="single"/>
        </w:rPr>
        <w:tab/>
      </w:r>
      <w:r>
        <w:rPr>
          <w:sz w:val="24"/>
        </w:rPr>
        <w:t>%</w:t>
      </w:r>
      <w:r>
        <w:rPr>
          <w:spacing w:val="-48"/>
          <w:sz w:val="24"/>
        </w:rPr>
        <w:t>。</w:t>
      </w:r>
      <w:r>
        <w:rPr>
          <w:sz w:val="24"/>
        </w:rPr>
        <w:t>同时排除不可抗力因素影响</w:t>
      </w:r>
      <w:r>
        <w:rPr>
          <w:spacing w:val="-46"/>
          <w:sz w:val="24"/>
        </w:rPr>
        <w:t>，</w:t>
      </w:r>
      <w:r>
        <w:rPr>
          <w:sz w:val="24"/>
        </w:rPr>
        <w:t>确属劳务承包方原因导致工期内未完成全部作业内容使得劳务发包方蒙受损失的</w:t>
      </w:r>
      <w:r>
        <w:rPr>
          <w:spacing w:val="-94"/>
          <w:sz w:val="24"/>
        </w:rPr>
        <w:t>，</w:t>
      </w:r>
      <w:r>
        <w:rPr>
          <w:sz w:val="24"/>
        </w:rPr>
        <w:t>劳务承包方除赔偿损失部分外按每逾期一日支付</w:t>
      </w:r>
      <w:r>
        <w:rPr>
          <w:sz w:val="24"/>
          <w:u w:val="single"/>
        </w:rPr>
        <w:t xml:space="preserve"> </w:t>
      </w:r>
      <w:r>
        <w:rPr>
          <w:sz w:val="24"/>
          <w:u w:val="single"/>
        </w:rPr>
        <w:tab/>
      </w:r>
      <w:r>
        <w:rPr>
          <w:sz w:val="24"/>
        </w:rPr>
        <w:t>的逾期违约金,如需第三方介入完成剩余工 作量</w:t>
      </w:r>
      <w:r>
        <w:rPr>
          <w:spacing w:val="-94"/>
          <w:sz w:val="24"/>
        </w:rPr>
        <w:t>，</w:t>
      </w:r>
      <w:r>
        <w:rPr>
          <w:sz w:val="24"/>
        </w:rPr>
        <w:t>则在上述条件下同时扣减分包结算价款的</w:t>
      </w:r>
      <w:r>
        <w:rPr>
          <w:sz w:val="24"/>
          <w:u w:val="single"/>
        </w:rPr>
        <w:t xml:space="preserve"> </w:t>
      </w:r>
      <w:r>
        <w:rPr>
          <w:sz w:val="24"/>
          <w:u w:val="single"/>
        </w:rPr>
        <w:tab/>
      </w:r>
      <w:r>
        <w:rPr>
          <w:sz w:val="24"/>
        </w:rPr>
        <w:t>%以弥补剩余工程量完成后要支付给第三方的全部费用。其中涉及的隐蔽验收，劳务承包方不得私自隐蔽， 否则劳务承包方承担因此发生的全部费用且工期不予顺延。</w:t>
      </w:r>
    </w:p>
    <w:p>
      <w:pPr>
        <w:pStyle w:val="7"/>
        <w:numPr>
          <w:ilvl w:val="0"/>
          <w:numId w:val="5"/>
        </w:numPr>
        <w:tabs>
          <w:tab w:val="left" w:pos="841"/>
        </w:tabs>
        <w:spacing w:before="0" w:after="0" w:line="364" w:lineRule="auto"/>
        <w:ind w:left="120" w:right="357" w:firstLine="480"/>
        <w:jc w:val="both"/>
        <w:rPr>
          <w:sz w:val="24"/>
        </w:rPr>
      </w:pPr>
      <w:r>
        <w:rPr>
          <w:spacing w:val="-6"/>
          <w:sz w:val="24"/>
        </w:rPr>
        <w:t>除本合同已明确劳务发包劳务承包方关系的，劳务发包方不对第三方单位</w:t>
      </w:r>
      <w:r>
        <w:rPr>
          <w:spacing w:val="-7"/>
          <w:sz w:val="24"/>
        </w:rPr>
        <w:t>或个人承诺任何有涉及经济、债务关系的行为承担责任。因劳务承包方直接或间</w:t>
      </w:r>
      <w:r>
        <w:rPr>
          <w:spacing w:val="-6"/>
          <w:sz w:val="24"/>
        </w:rPr>
        <w:t>接原因导致第三方向劳务发包方索赔的</w:t>
      </w:r>
      <w:r>
        <w:rPr>
          <w:sz w:val="24"/>
        </w:rPr>
        <w:t>（</w:t>
      </w:r>
      <w:r>
        <w:rPr>
          <w:spacing w:val="-1"/>
          <w:sz w:val="24"/>
        </w:rPr>
        <w:t>包括劳务承包方侵涉第三方知识产权资</w:t>
      </w:r>
      <w:r>
        <w:rPr>
          <w:sz w:val="24"/>
        </w:rPr>
        <w:t>源的</w:t>
      </w:r>
      <w:r>
        <w:rPr>
          <w:spacing w:val="-120"/>
          <w:sz w:val="24"/>
        </w:rPr>
        <w:t>）</w:t>
      </w:r>
      <w:r>
        <w:rPr>
          <w:sz w:val="24"/>
        </w:rPr>
        <w:t>，劳务承包方要无条件承担协商结果或诉讼结果的全部费用，否则劳务发包方有权解除合同。</w:t>
      </w:r>
    </w:p>
    <w:p>
      <w:pPr>
        <w:pStyle w:val="7"/>
        <w:numPr>
          <w:ilvl w:val="0"/>
          <w:numId w:val="5"/>
        </w:numPr>
        <w:tabs>
          <w:tab w:val="left" w:pos="841"/>
        </w:tabs>
        <w:spacing w:before="0" w:after="0" w:line="364" w:lineRule="auto"/>
        <w:ind w:left="120" w:right="357" w:firstLine="480"/>
        <w:jc w:val="both"/>
        <w:rPr>
          <w:sz w:val="24"/>
        </w:rPr>
      </w:pPr>
      <w:r>
        <w:rPr>
          <w:spacing w:val="4"/>
          <w:sz w:val="24"/>
        </w:rPr>
        <w:t>禁止劳务承包方组织</w:t>
      </w:r>
      <w:r>
        <w:rPr>
          <w:sz w:val="24"/>
        </w:rPr>
        <w:t>18</w:t>
      </w:r>
      <w:r>
        <w:rPr>
          <w:spacing w:val="-7"/>
          <w:sz w:val="24"/>
        </w:rPr>
        <w:t>岁以下未成年人和</w:t>
      </w:r>
      <w:r>
        <w:rPr>
          <w:sz w:val="24"/>
        </w:rPr>
        <w:t>55</w:t>
      </w:r>
      <w:r>
        <w:rPr>
          <w:spacing w:val="-11"/>
          <w:sz w:val="24"/>
        </w:rPr>
        <w:t>岁以上的老人及体弱病残人员、不法人员进驻施工现场，并承担由于使用了以上不合格人员而导致的一切责</w:t>
      </w:r>
      <w:r>
        <w:rPr>
          <w:sz w:val="24"/>
        </w:rPr>
        <w:t>任后果；人员进场前</w:t>
      </w:r>
      <w:r>
        <w:rPr>
          <w:sz w:val="24"/>
          <w:u w:val="single"/>
        </w:rPr>
        <w:t xml:space="preserve"> </w:t>
      </w:r>
      <w:r>
        <w:rPr>
          <w:sz w:val="24"/>
        </w:rPr>
        <w:t xml:space="preserve"> 日劳务承包方必须提供经劳务发包方确认（按招标文件要求及劳务承包方承诺</w:t>
      </w:r>
      <w:r>
        <w:rPr>
          <w:spacing w:val="-48"/>
          <w:sz w:val="24"/>
        </w:rPr>
        <w:t>）</w:t>
      </w:r>
      <w:r>
        <w:rPr>
          <w:spacing w:val="-8"/>
          <w:sz w:val="24"/>
        </w:rPr>
        <w:t>的人员名册，还包括但不限于劳务承包方与其聘用人员</w:t>
      </w:r>
      <w:r>
        <w:rPr>
          <w:spacing w:val="-9"/>
          <w:sz w:val="24"/>
        </w:rPr>
        <w:t>相符的资格证书、上岗证、劳动合同、全员考勤表、工资发放表、缴纳个人所得税的完税凭证、有效个人证件、特种作业人员操作证等信息资料，同时需满足施</w:t>
      </w:r>
      <w:r>
        <w:rPr>
          <w:spacing w:val="-4"/>
          <w:sz w:val="24"/>
        </w:rPr>
        <w:t>工作业人员同专职安全员人数的配置标准要求并及时提供变更人员动态情况，否</w:t>
      </w:r>
      <w:r>
        <w:rPr>
          <w:spacing w:val="-7"/>
          <w:sz w:val="24"/>
        </w:rPr>
        <w:t>则劳务发包方有权拒付分包款。按照劳务发包方《劳务实名制管理办法》做好劳务人员工资实名制发放工作，定期向劳务发包方上报相关数据和表格，负责工资</w:t>
      </w:r>
      <w:r>
        <w:rPr>
          <w:spacing w:val="-6"/>
          <w:sz w:val="24"/>
        </w:rPr>
        <w:t>表内劳务人员个人所得税的代扣代缴义务，及时将完税凭证留印后交劳务发包方</w:t>
      </w:r>
      <w:r>
        <w:rPr>
          <w:sz w:val="24"/>
        </w:rPr>
        <w:t>备案。</w:t>
      </w:r>
    </w:p>
    <w:p>
      <w:pPr>
        <w:spacing w:after="0" w:line="364" w:lineRule="auto"/>
        <w:jc w:val="both"/>
        <w:rPr>
          <w:sz w:val="24"/>
        </w:rPr>
        <w:sectPr>
          <w:pgSz w:w="11910" w:h="16840"/>
          <w:pgMar w:top="1380" w:right="1440" w:bottom="280" w:left="1680" w:header="720" w:footer="720" w:gutter="0"/>
          <w:cols w:space="720" w:num="1"/>
        </w:sectPr>
      </w:pPr>
    </w:p>
    <w:p>
      <w:pPr>
        <w:pStyle w:val="7"/>
        <w:numPr>
          <w:ilvl w:val="0"/>
          <w:numId w:val="5"/>
        </w:numPr>
        <w:tabs>
          <w:tab w:val="left" w:pos="841"/>
        </w:tabs>
        <w:spacing w:before="43" w:after="0" w:line="364" w:lineRule="auto"/>
        <w:ind w:left="120" w:right="357" w:firstLine="480"/>
        <w:jc w:val="both"/>
        <w:rPr>
          <w:sz w:val="24"/>
        </w:rPr>
      </w:pPr>
      <w:r>
        <w:rPr>
          <w:spacing w:val="-7"/>
          <w:sz w:val="24"/>
        </w:rPr>
        <w:t>服从劳务发包方或业主的监督、指导、教育、指挥和检查，包括有关人员</w:t>
      </w:r>
      <w:r>
        <w:rPr>
          <w:spacing w:val="-12"/>
          <w:sz w:val="24"/>
        </w:rPr>
        <w:t>对质量、进度、技术、安全生产、文明施工、环境保护等方面的常态管理。对拒</w:t>
      </w:r>
      <w:r>
        <w:rPr>
          <w:spacing w:val="-9"/>
          <w:sz w:val="24"/>
        </w:rPr>
        <w:t>不服从管理指令的，劳务发包方视同违约行为并有权对其进行罚款，具体适用情</w:t>
      </w:r>
      <w:r>
        <w:rPr>
          <w:sz w:val="24"/>
        </w:rPr>
        <w:t>形及罚金标准执行劳务发包方现行的有关规定。</w:t>
      </w:r>
    </w:p>
    <w:p>
      <w:pPr>
        <w:pStyle w:val="7"/>
        <w:numPr>
          <w:ilvl w:val="0"/>
          <w:numId w:val="5"/>
        </w:numPr>
        <w:tabs>
          <w:tab w:val="left" w:pos="841"/>
        </w:tabs>
        <w:spacing w:before="0" w:after="0" w:line="364" w:lineRule="auto"/>
        <w:ind w:left="120" w:right="505" w:firstLine="480"/>
        <w:jc w:val="left"/>
        <w:rPr>
          <w:sz w:val="24"/>
        </w:rPr>
      </w:pPr>
      <w:r>
        <w:rPr>
          <w:spacing w:val="-1"/>
          <w:sz w:val="24"/>
        </w:rPr>
        <w:t>劳务承包方为其所有进驻现场的施工人员配备必要的劳动保护和安全防</w:t>
      </w:r>
      <w:r>
        <w:rPr>
          <w:sz w:val="24"/>
        </w:rPr>
        <w:t>护用品并按要求正确使用。</w:t>
      </w:r>
    </w:p>
    <w:p>
      <w:pPr>
        <w:pStyle w:val="7"/>
        <w:numPr>
          <w:ilvl w:val="0"/>
          <w:numId w:val="5"/>
        </w:numPr>
        <w:tabs>
          <w:tab w:val="left" w:pos="841"/>
        </w:tabs>
        <w:spacing w:before="0" w:after="0" w:line="364" w:lineRule="auto"/>
        <w:ind w:left="120" w:right="357" w:firstLine="480"/>
        <w:jc w:val="both"/>
        <w:rPr>
          <w:sz w:val="24"/>
        </w:rPr>
      </w:pPr>
      <w:r>
        <w:rPr>
          <w:spacing w:val="-9"/>
          <w:sz w:val="24"/>
        </w:rPr>
        <w:t>做好施工场地周围建筑物、构筑物和地下管线和已完工程部分的成品保护</w:t>
      </w:r>
      <w:r>
        <w:rPr>
          <w:spacing w:val="-11"/>
          <w:sz w:val="24"/>
        </w:rPr>
        <w:t>工作。因劳务承包方责任发生损坏，应自行承担由此引起的一切经济损失及各种</w:t>
      </w:r>
      <w:r>
        <w:rPr>
          <w:spacing w:val="-10"/>
          <w:sz w:val="24"/>
        </w:rPr>
        <w:t>罚款。如因劳务承包方人员、车辆行为未按施工现场安全、环卫管理规定而违章</w:t>
      </w:r>
      <w:r>
        <w:rPr>
          <w:sz w:val="24"/>
        </w:rPr>
        <w:t>操作、措施不到位引发生安全事故或责任的由劳务承包方全权承担。</w:t>
      </w:r>
    </w:p>
    <w:p>
      <w:pPr>
        <w:pStyle w:val="7"/>
        <w:numPr>
          <w:ilvl w:val="0"/>
          <w:numId w:val="5"/>
        </w:numPr>
        <w:tabs>
          <w:tab w:val="left" w:pos="841"/>
        </w:tabs>
        <w:spacing w:before="0" w:after="0" w:line="364" w:lineRule="auto"/>
        <w:ind w:left="120" w:right="357" w:firstLine="480"/>
        <w:jc w:val="both"/>
        <w:rPr>
          <w:sz w:val="24"/>
        </w:rPr>
      </w:pPr>
      <w:r>
        <w:rPr>
          <w:spacing w:val="-6"/>
          <w:sz w:val="24"/>
        </w:rPr>
        <w:t>劳务承包方自备料具的责任按照主体权属原则自负，进、出场前必须以书</w:t>
      </w:r>
      <w:r>
        <w:rPr>
          <w:spacing w:val="-5"/>
          <w:sz w:val="24"/>
        </w:rPr>
        <w:t>面清单形式告知劳务发包方并限在其作业区域内管理和使用，过程中所需料具必</w:t>
      </w:r>
      <w:r>
        <w:rPr>
          <w:spacing w:val="-9"/>
          <w:sz w:val="24"/>
        </w:rPr>
        <w:t>须满足合同工期要求，确保工程质量。如劳务承包方提供组织的劳务确因质量问</w:t>
      </w:r>
      <w:r>
        <w:rPr>
          <w:sz w:val="24"/>
        </w:rPr>
        <w:t>题影响劳务发包方不能顺利通过交验的，劳务承包方承担全部责任。</w:t>
      </w:r>
    </w:p>
    <w:p>
      <w:pPr>
        <w:pStyle w:val="7"/>
        <w:numPr>
          <w:ilvl w:val="0"/>
          <w:numId w:val="5"/>
        </w:numPr>
        <w:tabs>
          <w:tab w:val="left" w:pos="841"/>
        </w:tabs>
        <w:spacing w:before="0" w:after="0" w:line="362" w:lineRule="auto"/>
        <w:ind w:left="120" w:right="357" w:firstLine="480"/>
        <w:jc w:val="left"/>
        <w:rPr>
          <w:sz w:val="24"/>
        </w:rPr>
      </w:pPr>
      <w:r>
        <w:rPr>
          <w:spacing w:val="-5"/>
          <w:sz w:val="24"/>
        </w:rPr>
        <w:t>按本合同的劳务分包方式除劳务承包方提供的纯人工服务外，还包括以下</w:t>
      </w:r>
      <w:r>
        <w:rPr>
          <w:sz w:val="24"/>
        </w:rPr>
        <w:t>自备资源：</w:t>
      </w:r>
    </w:p>
    <w:p>
      <w:pPr>
        <w:pStyle w:val="3"/>
        <w:tabs>
          <w:tab w:val="left" w:pos="5281"/>
        </w:tabs>
        <w:ind w:left="662"/>
        <w:rPr>
          <w:rFonts w:ascii="Times New Roman" w:eastAsia="Times New Roman"/>
        </w:rPr>
      </w:pPr>
      <w:r>
        <w:rPr>
          <w:spacing w:val="-1"/>
        </w:rPr>
        <w:t>劳</w:t>
      </w:r>
      <w:r>
        <w:t>务承包方自备辅材包括：</w:t>
      </w:r>
      <w:r>
        <w:rPr>
          <w:rFonts w:ascii="Times New Roman" w:eastAsia="Times New Roman"/>
          <w:u w:val="single"/>
        </w:rPr>
        <w:t xml:space="preserve"> </w:t>
      </w:r>
      <w:r>
        <w:rPr>
          <w:rFonts w:ascii="Times New Roman" w:eastAsia="Times New Roman"/>
          <w:u w:val="single"/>
        </w:rPr>
        <w:tab/>
      </w:r>
    </w:p>
    <w:p>
      <w:pPr>
        <w:pStyle w:val="3"/>
        <w:tabs>
          <w:tab w:val="left" w:pos="5761"/>
        </w:tabs>
        <w:spacing w:before="157"/>
        <w:ind w:left="662"/>
        <w:rPr>
          <w:rFonts w:ascii="Times New Roman" w:eastAsia="Times New Roman"/>
        </w:rPr>
      </w:pPr>
      <w:r>
        <w:rPr>
          <w:spacing w:val="-1"/>
        </w:rPr>
        <w:t>劳</w:t>
      </w:r>
      <w:r>
        <w:t>务承包方自备小型机具包括：</w:t>
      </w:r>
      <w:r>
        <w:rPr>
          <w:rFonts w:ascii="Times New Roman" w:eastAsia="Times New Roman"/>
          <w:u w:val="single"/>
        </w:rPr>
        <w:t xml:space="preserve"> </w:t>
      </w:r>
      <w:r>
        <w:rPr>
          <w:rFonts w:ascii="Times New Roman" w:eastAsia="Times New Roman"/>
          <w:u w:val="single"/>
        </w:rPr>
        <w:tab/>
      </w:r>
    </w:p>
    <w:p>
      <w:pPr>
        <w:pStyle w:val="7"/>
        <w:numPr>
          <w:ilvl w:val="0"/>
          <w:numId w:val="0"/>
        </w:numPr>
        <w:tabs>
          <w:tab w:val="left" w:pos="1024"/>
        </w:tabs>
        <w:spacing w:before="160" w:after="0" w:line="364" w:lineRule="auto"/>
        <w:ind w:right="421" w:rightChars="0" w:firstLine="456" w:firstLineChars="200"/>
        <w:jc w:val="both"/>
        <w:rPr>
          <w:sz w:val="24"/>
        </w:rPr>
      </w:pPr>
      <w:r>
        <w:rPr>
          <w:rFonts w:hint="eastAsia"/>
          <w:spacing w:val="-6"/>
          <w:sz w:val="24"/>
          <w:lang w:val="en-US" w:eastAsia="zh-CN"/>
        </w:rPr>
        <w:t>10.</w:t>
      </w:r>
      <w:r>
        <w:rPr>
          <w:spacing w:val="-6"/>
          <w:sz w:val="24"/>
        </w:rPr>
        <w:t>如因劳务承包方原因违约导致中途解除合同，劳务承包方除承担违约金</w:t>
      </w:r>
      <w:r>
        <w:rPr>
          <w:sz w:val="24"/>
        </w:rPr>
        <w:t>和实际损失外，还需按未完工程价款的</w:t>
      </w:r>
      <w:r>
        <w:rPr>
          <w:sz w:val="24"/>
          <w:u w:val="single"/>
        </w:rPr>
        <w:t xml:space="preserve">  </w:t>
      </w:r>
      <w:r>
        <w:rPr>
          <w:spacing w:val="4"/>
          <w:sz w:val="24"/>
        </w:rPr>
        <w:t xml:space="preserve"> %补偿弥补劳务发包方因另行发包而产生的各种损失和费用。同时，劳务承包方所有人力、物力资源必须在中途解除合同后的</w:t>
      </w:r>
      <w:r>
        <w:rPr>
          <w:spacing w:val="4"/>
          <w:sz w:val="24"/>
          <w:u w:val="single"/>
        </w:rPr>
        <w:t xml:space="preserve">  </w:t>
      </w:r>
      <w:r>
        <w:rPr>
          <w:sz w:val="24"/>
        </w:rPr>
        <w:t xml:space="preserve"> 日内无条件撤出现场，逾期每日承担违约金</w:t>
      </w:r>
      <w:r>
        <w:rPr>
          <w:sz w:val="24"/>
          <w:u w:val="single"/>
        </w:rPr>
        <w:t xml:space="preserve">   </w:t>
      </w:r>
      <w:r>
        <w:rPr>
          <w:spacing w:val="-12"/>
          <w:sz w:val="24"/>
        </w:rPr>
        <w:t xml:space="preserve"> 元，超过十</w:t>
      </w:r>
      <w:r>
        <w:rPr>
          <w:sz w:val="24"/>
        </w:rPr>
        <w:t>五日的视同劳务承包方及其关联的第三方放弃了现场物资的所有权，劳务发包方有权处置、清理、变卖且对此不承担任何责任。中途解除合同后的十日内因劳务承包方不予配合且不能完成全部结算工作的，劳务发包方届时以拍摄的照片或独立第三方（监理和建设单位）的见证记录作为界定劳务承包方完成工程量、未完工程量。</w:t>
      </w:r>
    </w:p>
    <w:p>
      <w:pPr>
        <w:pStyle w:val="2"/>
        <w:spacing w:line="301" w:lineRule="exact"/>
      </w:pPr>
      <w:r>
        <w:t>十、保险</w:t>
      </w:r>
    </w:p>
    <w:p>
      <w:pPr>
        <w:pStyle w:val="3"/>
        <w:spacing w:before="161" w:line="364" w:lineRule="auto"/>
        <w:ind w:right="357" w:firstLine="480"/>
      </w:pPr>
      <w:r>
        <w:rPr>
          <w:spacing w:val="-4"/>
        </w:rPr>
        <w:t>本合同保险属法定强制性范畴，系根据国家</w:t>
      </w:r>
      <w:r>
        <w:fldChar w:fldCharType="begin"/>
      </w:r>
      <w:r>
        <w:instrText xml:space="preserve"> HYPERLINK "https://www.baidu.com/s?wd=%E3%80%8A%E5%BB%BA%E7%AD%91%E6%B3%95%E3%80%8B&amp;amp;tn=44039180_cpr&amp;amp;fenlei=mv6quAkxTZn0IZRqIHckPjm4nH00T1YYmHmsmW9WrjRYuWRYPH0s0ZwV5Hcvrjm3rH6sPfKWUMw85HfYnjn4nH6sgvPsT6KdThsqpZwYTjCEQLGCpyw9Uz4Bmy-bIi4WUvYETgN-TLwGUv3EPHDsPjbLnW0v" \h </w:instrText>
      </w:r>
      <w:r>
        <w:fldChar w:fldCharType="separate"/>
      </w:r>
      <w:r>
        <w:rPr>
          <w:spacing w:val="-5"/>
        </w:rPr>
        <w:t>《建筑法》</w:t>
      </w:r>
      <w:r>
        <w:rPr>
          <w:spacing w:val="-5"/>
        </w:rPr>
        <w:fldChar w:fldCharType="end"/>
      </w:r>
      <w:r>
        <w:rPr>
          <w:spacing w:val="-7"/>
        </w:rPr>
        <w:t>法规规定，劳务承包</w:t>
      </w:r>
      <w:r>
        <w:rPr>
          <w:spacing w:val="-6"/>
        </w:rPr>
        <w:t>方必须为其组织入场的所有人员或按建筑面积、或按工程合同造价方式支付保险</w:t>
      </w:r>
    </w:p>
    <w:p>
      <w:pPr>
        <w:spacing w:after="0" w:line="364" w:lineRule="auto"/>
        <w:sectPr>
          <w:pgSz w:w="11910" w:h="16840"/>
          <w:pgMar w:top="1380" w:right="1440" w:bottom="280" w:left="1680" w:header="720" w:footer="720" w:gutter="0"/>
          <w:cols w:space="720" w:num="1"/>
        </w:sectPr>
      </w:pPr>
    </w:p>
    <w:p>
      <w:pPr>
        <w:pStyle w:val="3"/>
        <w:spacing w:before="43" w:line="364" w:lineRule="auto"/>
        <w:ind w:right="357"/>
        <w:jc w:val="both"/>
      </w:pPr>
      <w:r>
        <w:t>费用（此部分费用已含在本合同价款内</w:t>
      </w:r>
      <w:r>
        <w:rPr>
          <w:spacing w:val="-120"/>
        </w:rPr>
        <w:t>）</w:t>
      </w:r>
      <w:r>
        <w:fldChar w:fldCharType="begin"/>
      </w:r>
      <w:r>
        <w:instrText xml:space="preserve"> HYPERLINK "https://www.baidu.com/s?wd=%E4%BF%9D%E9%99%A9%E6%9C%9F%E9%99%90&amp;amp;tn=44039180_cpr&amp;amp;fenlei=mv6quAkxTZn0IZRqIHckPjm4nH00T1YYmHmsmW9WrjRYuWRYPH0s0ZwV5Hcvrjm3rH6sPfKWUMw85HfYnjn4nH6sgvPsT6KdThsqpZwYTjCEQLGCpyw9Uz4Bmy-bIi4WUvYETgN-TLwGUv3EPHDsPjbLnW0v" \h </w:instrText>
      </w:r>
      <w:r>
        <w:fldChar w:fldCharType="separate"/>
      </w:r>
      <w:r>
        <w:t>；购买的保险期限</w:t>
      </w:r>
      <w:r>
        <w:fldChar w:fldCharType="end"/>
      </w:r>
      <w:r>
        <w:t>是工程项目自开工之日到</w:t>
      </w:r>
      <w:r>
        <w:fldChar w:fldCharType="begin"/>
      </w:r>
      <w:r>
        <w:instrText xml:space="preserve"> HYPERLINK "https://www.baidu.com/s?wd=%E5%B7%A5%E7%A8%8B%E7%AB%A3%E5%B7%A5%E9%AA%8C%E6%94%B6&amp;amp;tn=44039180_cpr&amp;amp;fenlei=mv6quAkxTZn0IZRqIHckPjm4nH00T1YYmHmsmW9WrjRYuWRYPH0s0ZwV5Hcvrjm3rH6sPfKWUMw85HfYnjn4nH6sgvPsT6KdThsqpZwYTjCEQLGCpyw9Uz4Bmy-bIi4WUvYETgN-TLwGUv3EPHDsPjbLnW0v" \h </w:instrText>
      </w:r>
      <w:r>
        <w:fldChar w:fldCharType="separate"/>
      </w:r>
      <w:r>
        <w:t>竣工验收</w:t>
      </w:r>
      <w:r>
        <w:fldChar w:fldCharType="end"/>
      </w:r>
      <w:r>
        <w:rPr>
          <w:spacing w:val="-11"/>
        </w:rPr>
        <w:t>合格日、作业人员全部撤离现场为止。本条款在合同履行期间劳务</w:t>
      </w:r>
      <w:r>
        <w:rPr>
          <w:spacing w:val="-10"/>
        </w:rPr>
        <w:t>发包、劳务承包双方需共同采取必要措施降低风险、减少损失，处理好事发的善</w:t>
      </w:r>
      <w:r>
        <w:t>后事宜。</w:t>
      </w:r>
    </w:p>
    <w:p>
      <w:pPr>
        <w:pStyle w:val="2"/>
        <w:spacing w:line="305" w:lineRule="exact"/>
      </w:pPr>
      <w:r>
        <w:t>十一、工程验收</w:t>
      </w:r>
    </w:p>
    <w:p>
      <w:pPr>
        <w:pStyle w:val="3"/>
        <w:spacing w:before="160" w:line="364" w:lineRule="auto"/>
        <w:ind w:right="357" w:firstLine="480"/>
        <w:jc w:val="both"/>
      </w:pPr>
      <w:r>
        <w:rPr>
          <w:spacing w:val="-8"/>
        </w:rPr>
        <w:t>工程验收以施工图纸、设计说明、图纸会审记录、有关变更的书面文件、以</w:t>
      </w:r>
      <w:r>
        <w:rPr>
          <w:spacing w:val="-6"/>
        </w:rPr>
        <w:t>及国家颁发的施工及验收规范和和质量标准为依据。劳务承包方要确保所完成施</w:t>
      </w:r>
      <w:r>
        <w:rPr>
          <w:spacing w:val="-10"/>
        </w:rPr>
        <w:t>工的质量，符合劳务发包方约定的质量标准。劳务发包方与建设单位之间的隐蔽</w:t>
      </w:r>
      <w:r>
        <w:rPr>
          <w:spacing w:val="-5"/>
        </w:rPr>
        <w:t>工程验收结果或竣工验收结果表明劳务承包方施工质量不合格时，劳务承包方应</w:t>
      </w:r>
      <w:r>
        <w:t>负责无偿修复，不延长工期，并承担由此导致的一切损失。</w:t>
      </w:r>
    </w:p>
    <w:p>
      <w:pPr>
        <w:pStyle w:val="2"/>
        <w:keepNext w:val="0"/>
        <w:keepLines w:val="0"/>
        <w:pageBreakBefore w:val="0"/>
        <w:widowControl w:val="0"/>
        <w:kinsoku/>
        <w:wordWrap/>
        <w:overflowPunct/>
        <w:topLinePunct w:val="0"/>
        <w:autoSpaceDE w:val="0"/>
        <w:autoSpaceDN w:val="0"/>
        <w:bidi w:val="0"/>
        <w:adjustRightInd/>
        <w:snapToGrid/>
        <w:spacing w:line="365" w:lineRule="auto"/>
        <w:textAlignment w:val="auto"/>
      </w:pPr>
      <w:r>
        <w:t>十二、履约保证金及工程保修</w:t>
      </w:r>
    </w:p>
    <w:p>
      <w:pPr>
        <w:pStyle w:val="7"/>
        <w:keepNext w:val="0"/>
        <w:keepLines w:val="0"/>
        <w:pageBreakBefore w:val="0"/>
        <w:widowControl w:val="0"/>
        <w:numPr>
          <w:ilvl w:val="0"/>
          <w:numId w:val="6"/>
        </w:numPr>
        <w:tabs>
          <w:tab w:val="left" w:pos="841"/>
          <w:tab w:val="left" w:pos="6839"/>
        </w:tabs>
        <w:kinsoku/>
        <w:wordWrap/>
        <w:overflowPunct/>
        <w:topLinePunct w:val="0"/>
        <w:autoSpaceDE w:val="0"/>
        <w:autoSpaceDN w:val="0"/>
        <w:bidi w:val="0"/>
        <w:adjustRightInd/>
        <w:snapToGrid/>
        <w:spacing w:before="0" w:after="0" w:line="365" w:lineRule="auto"/>
        <w:ind w:left="120" w:right="265" w:firstLine="480"/>
        <w:jc w:val="left"/>
        <w:textAlignment w:val="auto"/>
        <w:rPr>
          <w:sz w:val="24"/>
        </w:rPr>
      </w:pPr>
      <w:r>
        <w:rPr>
          <w:sz w:val="24"/>
        </w:rPr>
        <w:t>劳务承包方向劳务发包方指定账户支付分包合同价款</w:t>
      </w:r>
      <w:r>
        <w:rPr>
          <w:sz w:val="24"/>
          <w:u w:val="single"/>
        </w:rPr>
        <w:t xml:space="preserve"> </w:t>
      </w:r>
      <w:r>
        <w:rPr>
          <w:sz w:val="24"/>
          <w:u w:val="single"/>
        </w:rPr>
        <w:tab/>
      </w:r>
      <w:r>
        <w:rPr>
          <w:sz w:val="24"/>
        </w:rPr>
        <w:t>%保证金（包括工程履约金、合同履约金、农民工工资保证金、质量保证金、安全达标保证金</w:t>
      </w:r>
      <w:r>
        <w:rPr>
          <w:spacing w:val="-19"/>
          <w:sz w:val="24"/>
        </w:rPr>
        <w:t>、</w:t>
      </w:r>
      <w:r>
        <w:rPr>
          <w:sz w:val="24"/>
        </w:rPr>
        <w:t>资料交验保证金等</w:t>
      </w:r>
      <w:r>
        <w:rPr>
          <w:spacing w:val="-120"/>
          <w:sz w:val="24"/>
        </w:rPr>
        <w:t>）</w:t>
      </w:r>
      <w:r>
        <w:rPr>
          <w:sz w:val="24"/>
        </w:rPr>
        <w:t>，待竣工验收合格，全部作业人员退场后，劳务发包方无息返还保证金。</w:t>
      </w:r>
    </w:p>
    <w:p>
      <w:pPr>
        <w:pStyle w:val="7"/>
        <w:keepNext w:val="0"/>
        <w:keepLines w:val="0"/>
        <w:pageBreakBefore w:val="0"/>
        <w:widowControl w:val="0"/>
        <w:numPr>
          <w:ilvl w:val="0"/>
          <w:numId w:val="6"/>
        </w:numPr>
        <w:tabs>
          <w:tab w:val="left" w:pos="841"/>
          <w:tab w:val="left" w:pos="4439"/>
        </w:tabs>
        <w:kinsoku/>
        <w:wordWrap/>
        <w:overflowPunct/>
        <w:topLinePunct w:val="0"/>
        <w:autoSpaceDE w:val="0"/>
        <w:autoSpaceDN w:val="0"/>
        <w:bidi w:val="0"/>
        <w:adjustRightInd/>
        <w:snapToGrid/>
        <w:spacing w:before="0" w:after="0" w:line="365" w:lineRule="auto"/>
        <w:ind w:left="841" w:right="0" w:hanging="241"/>
        <w:jc w:val="left"/>
        <w:textAlignment w:val="auto"/>
        <w:rPr>
          <w:sz w:val="24"/>
        </w:rPr>
      </w:pPr>
      <w:r>
        <w:rPr>
          <w:sz w:val="24"/>
        </w:rPr>
        <w:t>保修范围及期限：</w:t>
      </w:r>
      <w:r>
        <w:rPr>
          <w:sz w:val="24"/>
          <w:u w:val="single"/>
        </w:rPr>
        <w:t xml:space="preserve"> </w:t>
      </w:r>
      <w:r>
        <w:rPr>
          <w:sz w:val="24"/>
          <w:u w:val="single"/>
        </w:rPr>
        <w:tab/>
      </w:r>
      <w:r>
        <w:rPr>
          <w:sz w:val="24"/>
        </w:rPr>
        <w:t>。</w:t>
      </w:r>
    </w:p>
    <w:p>
      <w:pPr>
        <w:pStyle w:val="7"/>
        <w:keepNext w:val="0"/>
        <w:keepLines w:val="0"/>
        <w:pageBreakBefore w:val="0"/>
        <w:widowControl w:val="0"/>
        <w:numPr>
          <w:ilvl w:val="0"/>
          <w:numId w:val="6"/>
        </w:numPr>
        <w:tabs>
          <w:tab w:val="left" w:pos="841"/>
        </w:tabs>
        <w:kinsoku/>
        <w:wordWrap/>
        <w:overflowPunct/>
        <w:topLinePunct w:val="0"/>
        <w:autoSpaceDE w:val="0"/>
        <w:autoSpaceDN w:val="0"/>
        <w:bidi w:val="0"/>
        <w:adjustRightInd/>
        <w:snapToGrid/>
        <w:spacing w:before="0" w:after="0" w:line="365" w:lineRule="auto"/>
        <w:ind w:left="120" w:right="357" w:firstLine="480"/>
        <w:jc w:val="left"/>
        <w:textAlignment w:val="auto"/>
        <w:rPr>
          <w:sz w:val="24"/>
        </w:rPr>
      </w:pPr>
      <w:r>
        <w:rPr>
          <w:spacing w:val="-6"/>
          <w:sz w:val="24"/>
        </w:rPr>
        <w:t>保修期内按劳务发包方要求和时间派人维修，若劳务承包方未实施，劳务</w:t>
      </w:r>
      <w:r>
        <w:rPr>
          <w:sz w:val="24"/>
        </w:rPr>
        <w:t>发包方委托第三方进行维修，其费用在质保金中扣除。</w:t>
      </w:r>
    </w:p>
    <w:p>
      <w:pPr>
        <w:pStyle w:val="2"/>
        <w:keepNext w:val="0"/>
        <w:keepLines w:val="0"/>
        <w:pageBreakBefore w:val="0"/>
        <w:widowControl w:val="0"/>
        <w:kinsoku/>
        <w:wordWrap/>
        <w:overflowPunct/>
        <w:topLinePunct w:val="0"/>
        <w:autoSpaceDE w:val="0"/>
        <w:autoSpaceDN w:val="0"/>
        <w:bidi w:val="0"/>
        <w:adjustRightInd/>
        <w:snapToGrid/>
        <w:spacing w:before="0" w:line="365" w:lineRule="auto"/>
        <w:textAlignment w:val="auto"/>
      </w:pPr>
      <w:r>
        <w:t>十三、合同授权及其他约定</w:t>
      </w:r>
    </w:p>
    <w:p>
      <w:pPr>
        <w:pStyle w:val="7"/>
        <w:keepNext w:val="0"/>
        <w:keepLines w:val="0"/>
        <w:pageBreakBefore w:val="0"/>
        <w:widowControl w:val="0"/>
        <w:numPr>
          <w:ilvl w:val="0"/>
          <w:numId w:val="0"/>
        </w:numPr>
        <w:tabs>
          <w:tab w:val="left" w:pos="904"/>
          <w:tab w:val="left" w:pos="4561"/>
          <w:tab w:val="left" w:pos="6601"/>
          <w:tab w:val="left" w:pos="8423"/>
        </w:tabs>
        <w:kinsoku/>
        <w:wordWrap/>
        <w:overflowPunct/>
        <w:topLinePunct w:val="0"/>
        <w:autoSpaceDE w:val="0"/>
        <w:autoSpaceDN w:val="0"/>
        <w:bidi w:val="0"/>
        <w:adjustRightInd/>
        <w:snapToGrid/>
        <w:spacing w:before="0" w:after="0" w:line="365" w:lineRule="auto"/>
        <w:ind w:right="357" w:rightChars="0" w:firstLine="480" w:firstLineChars="200"/>
        <w:jc w:val="left"/>
        <w:textAlignment w:val="auto"/>
        <w:rPr>
          <w:sz w:val="24"/>
          <w:u w:val="single"/>
        </w:rPr>
      </w:pPr>
      <w:r>
        <w:rPr>
          <w:rFonts w:hint="eastAsia"/>
          <w:sz w:val="24"/>
          <w:lang w:val="en-US" w:eastAsia="zh-CN"/>
        </w:rPr>
        <w:t>1.</w:t>
      </w:r>
      <w:r>
        <w:rPr>
          <w:sz w:val="24"/>
        </w:rPr>
        <w:t>劳务发包方授权以下人员：</w:t>
      </w:r>
      <w:r>
        <w:rPr>
          <w:sz w:val="24"/>
          <w:u w:val="single"/>
        </w:rPr>
        <w:t xml:space="preserve"> </w:t>
      </w:r>
      <w:r>
        <w:rPr>
          <w:sz w:val="24"/>
          <w:u w:val="single"/>
        </w:rPr>
        <w:tab/>
      </w:r>
    </w:p>
    <w:p>
      <w:pPr>
        <w:pStyle w:val="7"/>
        <w:keepNext w:val="0"/>
        <w:keepLines w:val="0"/>
        <w:pageBreakBefore w:val="0"/>
        <w:widowControl w:val="0"/>
        <w:numPr>
          <w:ilvl w:val="0"/>
          <w:numId w:val="0"/>
        </w:numPr>
        <w:tabs>
          <w:tab w:val="left" w:pos="904"/>
          <w:tab w:val="left" w:pos="4561"/>
          <w:tab w:val="left" w:pos="6601"/>
          <w:tab w:val="left" w:pos="8423"/>
        </w:tabs>
        <w:kinsoku/>
        <w:wordWrap/>
        <w:overflowPunct/>
        <w:topLinePunct w:val="0"/>
        <w:autoSpaceDE w:val="0"/>
        <w:autoSpaceDN w:val="0"/>
        <w:bidi w:val="0"/>
        <w:adjustRightInd/>
        <w:snapToGrid/>
        <w:spacing w:before="0" w:after="0" w:line="365" w:lineRule="auto"/>
        <w:ind w:right="357" w:rightChars="0" w:firstLine="480" w:firstLineChars="200"/>
        <w:jc w:val="left"/>
        <w:textAlignment w:val="auto"/>
        <w:rPr>
          <w:sz w:val="24"/>
          <w:u w:val="single"/>
        </w:rPr>
      </w:pPr>
      <w:r>
        <w:rPr>
          <w:sz w:val="24"/>
        </w:rPr>
        <w:t>联系电话：</w:t>
      </w:r>
      <w:r>
        <w:rPr>
          <w:sz w:val="24"/>
          <w:u w:val="single"/>
        </w:rPr>
        <w:t xml:space="preserve"> </w:t>
      </w:r>
      <w:r>
        <w:rPr>
          <w:sz w:val="24"/>
          <w:u w:val="single"/>
        </w:rPr>
        <w:tab/>
      </w:r>
    </w:p>
    <w:p>
      <w:pPr>
        <w:pStyle w:val="7"/>
        <w:keepNext w:val="0"/>
        <w:keepLines w:val="0"/>
        <w:pageBreakBefore w:val="0"/>
        <w:widowControl w:val="0"/>
        <w:numPr>
          <w:ilvl w:val="0"/>
          <w:numId w:val="0"/>
        </w:numPr>
        <w:tabs>
          <w:tab w:val="left" w:pos="904"/>
          <w:tab w:val="left" w:pos="4561"/>
          <w:tab w:val="left" w:pos="6601"/>
          <w:tab w:val="left" w:pos="8423"/>
        </w:tabs>
        <w:kinsoku/>
        <w:wordWrap/>
        <w:overflowPunct/>
        <w:topLinePunct w:val="0"/>
        <w:autoSpaceDE w:val="0"/>
        <w:autoSpaceDN w:val="0"/>
        <w:bidi w:val="0"/>
        <w:adjustRightInd/>
        <w:snapToGrid/>
        <w:spacing w:before="0" w:after="0" w:line="365" w:lineRule="auto"/>
        <w:ind w:right="357" w:rightChars="0" w:firstLine="476" w:firstLineChars="200"/>
        <w:jc w:val="left"/>
        <w:textAlignment w:val="auto"/>
        <w:rPr>
          <w:sz w:val="24"/>
        </w:rPr>
      </w:pPr>
      <w:r>
        <w:rPr>
          <w:spacing w:val="-1"/>
          <w:sz w:val="24"/>
        </w:rPr>
        <w:t>身</w:t>
      </w:r>
      <w:r>
        <w:rPr>
          <w:sz w:val="24"/>
        </w:rPr>
        <w:t>份证号码：</w:t>
      </w:r>
      <w:r>
        <w:rPr>
          <w:rFonts w:ascii="Times New Roman" w:eastAsia="Times New Roman"/>
          <w:sz w:val="24"/>
          <w:u w:val="single"/>
        </w:rPr>
        <w:t xml:space="preserve"> </w:t>
      </w:r>
      <w:r>
        <w:rPr>
          <w:rFonts w:hint="eastAsia" w:ascii="Times New Roman" w:eastAsia="宋体"/>
          <w:sz w:val="24"/>
          <w:u w:val="single"/>
          <w:lang w:val="en-US" w:eastAsia="zh-CN"/>
        </w:rPr>
        <w:t xml:space="preserve">     </w:t>
      </w:r>
      <w:r>
        <w:rPr>
          <w:rFonts w:ascii="Times New Roman" w:eastAsia="Times New Roman"/>
          <w:sz w:val="24"/>
          <w:u w:val="single"/>
        </w:rPr>
        <w:tab/>
      </w:r>
      <w:r>
        <w:rPr>
          <w:sz w:val="24"/>
        </w:rPr>
        <w:t xml:space="preserve"> </w:t>
      </w:r>
    </w:p>
    <w:p>
      <w:pPr>
        <w:pStyle w:val="7"/>
        <w:keepNext w:val="0"/>
        <w:keepLines w:val="0"/>
        <w:pageBreakBefore w:val="0"/>
        <w:widowControl w:val="0"/>
        <w:numPr>
          <w:ilvl w:val="0"/>
          <w:numId w:val="0"/>
        </w:numPr>
        <w:tabs>
          <w:tab w:val="left" w:pos="904"/>
          <w:tab w:val="left" w:pos="4561"/>
          <w:tab w:val="left" w:pos="6601"/>
          <w:tab w:val="left" w:pos="8423"/>
        </w:tabs>
        <w:kinsoku/>
        <w:wordWrap/>
        <w:overflowPunct/>
        <w:topLinePunct w:val="0"/>
        <w:autoSpaceDE w:val="0"/>
        <w:autoSpaceDN w:val="0"/>
        <w:bidi w:val="0"/>
        <w:adjustRightInd/>
        <w:snapToGrid/>
        <w:spacing w:before="0" w:after="0" w:line="365" w:lineRule="auto"/>
        <w:ind w:right="357" w:rightChars="0" w:firstLine="480" w:firstLineChars="200"/>
        <w:jc w:val="left"/>
        <w:textAlignment w:val="auto"/>
      </w:pPr>
      <w:r>
        <w:rPr>
          <w:rFonts w:hint="eastAsia"/>
          <w:sz w:val="24"/>
        </w:rPr>
        <w:t>劳务发包方授权以下人员</w:t>
      </w:r>
      <w:r>
        <w:rPr>
          <w:sz w:val="24"/>
        </w:rPr>
        <w:t>超出职权范围或未取得劳务发包方书面授权而发生签认文件</w:t>
      </w:r>
      <w:r>
        <w:rPr>
          <w:spacing w:val="-94"/>
          <w:sz w:val="24"/>
        </w:rPr>
        <w:t>、</w:t>
      </w:r>
      <w:r>
        <w:rPr>
          <w:sz w:val="24"/>
        </w:rPr>
        <w:t>协议的行为</w:t>
      </w:r>
      <w:r>
        <w:rPr>
          <w:spacing w:val="-17"/>
          <w:sz w:val="24"/>
        </w:rPr>
        <w:t>一</w:t>
      </w:r>
      <w:r>
        <w:t>律视同无效，且劳务发包方不承担任何责任。</w:t>
      </w:r>
    </w:p>
    <w:p>
      <w:pPr>
        <w:pStyle w:val="7"/>
        <w:keepNext w:val="0"/>
        <w:keepLines w:val="0"/>
        <w:pageBreakBefore w:val="0"/>
        <w:widowControl w:val="0"/>
        <w:numPr>
          <w:ilvl w:val="0"/>
          <w:numId w:val="0"/>
        </w:numPr>
        <w:tabs>
          <w:tab w:val="left" w:pos="904"/>
          <w:tab w:val="left" w:pos="4561"/>
          <w:tab w:val="left" w:pos="6601"/>
          <w:tab w:val="left" w:pos="8423"/>
        </w:tabs>
        <w:kinsoku/>
        <w:wordWrap/>
        <w:overflowPunct/>
        <w:topLinePunct w:val="0"/>
        <w:autoSpaceDE w:val="0"/>
        <w:autoSpaceDN w:val="0"/>
        <w:bidi w:val="0"/>
        <w:adjustRightInd/>
        <w:snapToGrid/>
        <w:spacing w:before="0" w:after="0" w:line="365" w:lineRule="auto"/>
        <w:ind w:right="357" w:rightChars="0" w:firstLine="440" w:firstLineChars="200"/>
        <w:jc w:val="left"/>
        <w:textAlignment w:val="auto"/>
      </w:pPr>
      <w:r>
        <w:t>权限职责：全权负责本合同履行、终止并承担债务责任。</w:t>
      </w:r>
    </w:p>
    <w:p>
      <w:pPr>
        <w:pStyle w:val="7"/>
        <w:keepNext w:val="0"/>
        <w:keepLines w:val="0"/>
        <w:pageBreakBefore w:val="0"/>
        <w:widowControl w:val="0"/>
        <w:numPr>
          <w:ilvl w:val="0"/>
          <w:numId w:val="0"/>
        </w:numPr>
        <w:tabs>
          <w:tab w:val="left" w:pos="844"/>
          <w:tab w:val="left" w:pos="4501"/>
          <w:tab w:val="left" w:pos="6541"/>
          <w:tab w:val="left" w:pos="8423"/>
        </w:tabs>
        <w:kinsoku/>
        <w:wordWrap/>
        <w:overflowPunct/>
        <w:topLinePunct w:val="0"/>
        <w:autoSpaceDE w:val="0"/>
        <w:autoSpaceDN w:val="0"/>
        <w:bidi w:val="0"/>
        <w:adjustRightInd/>
        <w:snapToGrid/>
        <w:spacing w:before="0" w:after="0" w:line="365" w:lineRule="auto"/>
        <w:ind w:right="360" w:rightChars="0" w:firstLine="480" w:firstLineChars="200"/>
        <w:jc w:val="left"/>
        <w:textAlignment w:val="auto"/>
        <w:rPr>
          <w:sz w:val="24"/>
          <w:u w:val="single"/>
        </w:rPr>
      </w:pPr>
      <w:r>
        <w:rPr>
          <w:rFonts w:hint="eastAsia"/>
          <w:sz w:val="24"/>
          <w:lang w:val="en-US" w:eastAsia="zh-CN"/>
        </w:rPr>
        <w:t>2.</w:t>
      </w:r>
      <w:r>
        <w:rPr>
          <w:sz w:val="24"/>
        </w:rPr>
        <w:t>劳务承包方授权以下人员：</w:t>
      </w:r>
      <w:r>
        <w:rPr>
          <w:sz w:val="24"/>
          <w:u w:val="single"/>
        </w:rPr>
        <w:t xml:space="preserve"> </w:t>
      </w:r>
      <w:r>
        <w:rPr>
          <w:sz w:val="24"/>
          <w:u w:val="single"/>
        </w:rPr>
        <w:tab/>
      </w:r>
    </w:p>
    <w:p>
      <w:pPr>
        <w:pStyle w:val="7"/>
        <w:keepNext w:val="0"/>
        <w:keepLines w:val="0"/>
        <w:pageBreakBefore w:val="0"/>
        <w:widowControl w:val="0"/>
        <w:numPr>
          <w:ilvl w:val="0"/>
          <w:numId w:val="0"/>
        </w:numPr>
        <w:tabs>
          <w:tab w:val="left" w:pos="844"/>
          <w:tab w:val="left" w:pos="4501"/>
          <w:tab w:val="left" w:pos="6541"/>
          <w:tab w:val="left" w:pos="8423"/>
        </w:tabs>
        <w:kinsoku/>
        <w:wordWrap/>
        <w:overflowPunct/>
        <w:topLinePunct w:val="0"/>
        <w:autoSpaceDE w:val="0"/>
        <w:autoSpaceDN w:val="0"/>
        <w:bidi w:val="0"/>
        <w:adjustRightInd/>
        <w:snapToGrid/>
        <w:spacing w:before="0" w:after="0" w:line="365" w:lineRule="auto"/>
        <w:ind w:right="360" w:rightChars="0" w:firstLine="480" w:firstLineChars="200"/>
        <w:jc w:val="left"/>
        <w:textAlignment w:val="auto"/>
        <w:rPr>
          <w:sz w:val="24"/>
          <w:u w:val="single"/>
        </w:rPr>
      </w:pPr>
      <w:r>
        <w:rPr>
          <w:sz w:val="24"/>
        </w:rPr>
        <w:t>联系电话：</w:t>
      </w:r>
      <w:r>
        <w:rPr>
          <w:sz w:val="24"/>
          <w:u w:val="single"/>
        </w:rPr>
        <w:t xml:space="preserve"> </w:t>
      </w:r>
      <w:r>
        <w:rPr>
          <w:sz w:val="24"/>
          <w:u w:val="single"/>
        </w:rPr>
        <w:tab/>
      </w:r>
    </w:p>
    <w:p>
      <w:pPr>
        <w:pStyle w:val="7"/>
        <w:keepNext w:val="0"/>
        <w:keepLines w:val="0"/>
        <w:pageBreakBefore w:val="0"/>
        <w:widowControl w:val="0"/>
        <w:numPr>
          <w:ilvl w:val="0"/>
          <w:numId w:val="0"/>
        </w:numPr>
        <w:tabs>
          <w:tab w:val="left" w:pos="844"/>
          <w:tab w:val="left" w:pos="4501"/>
          <w:tab w:val="left" w:pos="6541"/>
          <w:tab w:val="left" w:pos="8423"/>
        </w:tabs>
        <w:kinsoku/>
        <w:wordWrap/>
        <w:overflowPunct/>
        <w:topLinePunct w:val="0"/>
        <w:autoSpaceDE w:val="0"/>
        <w:autoSpaceDN w:val="0"/>
        <w:bidi w:val="0"/>
        <w:adjustRightInd/>
        <w:snapToGrid/>
        <w:spacing w:before="0" w:after="0" w:line="365" w:lineRule="auto"/>
        <w:ind w:right="360" w:rightChars="0" w:firstLine="476" w:firstLineChars="200"/>
        <w:jc w:val="left"/>
        <w:textAlignment w:val="auto"/>
        <w:rPr>
          <w:sz w:val="24"/>
        </w:rPr>
      </w:pPr>
      <w:r>
        <w:rPr>
          <w:spacing w:val="-1"/>
          <w:sz w:val="24"/>
        </w:rPr>
        <w:t>身</w:t>
      </w:r>
      <w:r>
        <w:rPr>
          <w:sz w:val="24"/>
        </w:rPr>
        <w:t>份证号码：</w:t>
      </w:r>
      <w:r>
        <w:rPr>
          <w:rFonts w:ascii="Times New Roman" w:eastAsia="Times New Roman"/>
          <w:sz w:val="24"/>
          <w:u w:val="single"/>
        </w:rPr>
        <w:t xml:space="preserve"> </w:t>
      </w:r>
      <w:r>
        <w:rPr>
          <w:rFonts w:ascii="Times New Roman" w:eastAsia="Times New Roman"/>
          <w:sz w:val="24"/>
          <w:u w:val="single"/>
        </w:rPr>
        <w:tab/>
      </w:r>
      <w:r>
        <w:rPr>
          <w:sz w:val="24"/>
        </w:rPr>
        <w:t xml:space="preserve"> </w:t>
      </w:r>
    </w:p>
    <w:p>
      <w:pPr>
        <w:pStyle w:val="7"/>
        <w:keepNext w:val="0"/>
        <w:keepLines w:val="0"/>
        <w:pageBreakBefore w:val="0"/>
        <w:widowControl w:val="0"/>
        <w:numPr>
          <w:ilvl w:val="0"/>
          <w:numId w:val="0"/>
        </w:numPr>
        <w:tabs>
          <w:tab w:val="left" w:pos="844"/>
          <w:tab w:val="left" w:pos="4501"/>
          <w:tab w:val="left" w:pos="6541"/>
          <w:tab w:val="left" w:pos="8423"/>
        </w:tabs>
        <w:kinsoku/>
        <w:wordWrap/>
        <w:overflowPunct/>
        <w:topLinePunct w:val="0"/>
        <w:autoSpaceDE w:val="0"/>
        <w:autoSpaceDN w:val="0"/>
        <w:bidi w:val="0"/>
        <w:adjustRightInd/>
        <w:snapToGrid/>
        <w:spacing w:before="0" w:after="0" w:line="365" w:lineRule="auto"/>
        <w:ind w:right="360" w:rightChars="0" w:firstLine="480" w:firstLineChars="200"/>
        <w:jc w:val="left"/>
        <w:textAlignment w:val="auto"/>
        <w:rPr>
          <w:sz w:val="24"/>
        </w:rPr>
      </w:pPr>
      <w:r>
        <w:rPr>
          <w:sz w:val="24"/>
        </w:rPr>
        <w:t>劳务承包方授权人员行使履行过程中的各项职权，劳务承包方留存信息如发</w:t>
      </w:r>
    </w:p>
    <w:p>
      <w:pPr>
        <w:pStyle w:val="3"/>
        <w:keepNext w:val="0"/>
        <w:keepLines w:val="0"/>
        <w:pageBreakBefore w:val="0"/>
        <w:widowControl w:val="0"/>
        <w:kinsoku/>
        <w:wordWrap/>
        <w:overflowPunct/>
        <w:topLinePunct w:val="0"/>
        <w:autoSpaceDE w:val="0"/>
        <w:autoSpaceDN w:val="0"/>
        <w:bidi w:val="0"/>
        <w:adjustRightInd/>
        <w:snapToGrid/>
        <w:spacing w:before="0" w:line="365" w:lineRule="auto"/>
        <w:textAlignment w:val="auto"/>
      </w:pPr>
      <w:r>
        <w:t>生变更，要及时书面通知，否则损失自负。</w:t>
      </w:r>
    </w:p>
    <w:p>
      <w:pPr>
        <w:pStyle w:val="7"/>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0" w:after="0" w:line="365" w:lineRule="auto"/>
        <w:ind w:right="357" w:rightChars="0" w:firstLine="448" w:firstLineChars="200"/>
        <w:jc w:val="left"/>
        <w:textAlignment w:val="auto"/>
        <w:rPr>
          <w:sz w:val="24"/>
        </w:rPr>
      </w:pPr>
      <w:r>
        <w:rPr>
          <w:rFonts w:hint="eastAsia"/>
          <w:spacing w:val="-8"/>
          <w:sz w:val="24"/>
          <w:lang w:val="en-US" w:eastAsia="zh-CN"/>
        </w:rPr>
        <w:t>3.</w:t>
      </w:r>
      <w:r>
        <w:rPr>
          <w:spacing w:val="-8"/>
          <w:sz w:val="24"/>
        </w:rPr>
        <w:t>建设单位资金来源暂不到位的，劳务承包方必须确保项目连续不间断施工</w:t>
      </w:r>
      <w:r>
        <w:rPr>
          <w:sz w:val="24"/>
        </w:rPr>
        <w:t>个月，并按时支付期间劳务人员工资。</w:t>
      </w:r>
    </w:p>
    <w:p>
      <w:pPr>
        <w:pStyle w:val="7"/>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0" w:after="0" w:line="365" w:lineRule="auto"/>
        <w:ind w:right="357" w:rightChars="0" w:firstLine="480" w:firstLineChars="200"/>
        <w:jc w:val="left"/>
        <w:textAlignment w:val="auto"/>
      </w:pPr>
      <w:r>
        <w:rPr>
          <w:rFonts w:hint="eastAsia"/>
          <w:sz w:val="24"/>
          <w:lang w:val="en-US" w:eastAsia="zh-CN"/>
        </w:rPr>
        <w:t>4.</w:t>
      </w:r>
      <w:r>
        <w:rPr>
          <w:sz w:val="24"/>
        </w:rPr>
        <w:t>如果任何争议或权利要求起因</w:t>
      </w:r>
      <w:bookmarkStart w:id="104" w:name="_GoBack"/>
      <w:bookmarkEnd w:id="104"/>
      <w:r>
        <w:rPr>
          <w:sz w:val="24"/>
        </w:rPr>
        <w:t>于本合同或与本合同有关或与本合同的解</w:t>
      </w:r>
      <w:r>
        <w:rPr>
          <w:spacing w:val="-11"/>
          <w:sz w:val="24"/>
        </w:rPr>
        <w:t>释、履行、违约、终止或效力有关，都应由合同各方通过友好协商解决。协商不</w:t>
      </w:r>
      <w:r>
        <w:t>成，</w:t>
      </w:r>
      <w:r>
        <w:rPr>
          <w:color w:val="000000" w:themeColor="text1"/>
          <w:spacing w:val="-8"/>
        </w:rPr>
        <w:t>任何一方均可提请北海仲裁委员会/</w:t>
      </w:r>
      <w:r>
        <w:rPr>
          <w:color w:val="000000" w:themeColor="text1"/>
          <w:spacing w:val="-10"/>
        </w:rPr>
        <w:t>北海国际仲裁院</w:t>
      </w:r>
      <w:r>
        <w:rPr>
          <w:color w:val="000000" w:themeColor="text1"/>
        </w:rPr>
        <w:t>（</w:t>
      </w:r>
      <w:r>
        <w:rPr>
          <w:color w:val="000000" w:themeColor="text1"/>
          <w:spacing w:val="-7"/>
        </w:rPr>
        <w:t>开庭地点：兰州。提请仲裁联系电话：</w:t>
      </w:r>
      <w:r>
        <w:rPr>
          <w:color w:val="000000" w:themeColor="text1"/>
          <w:spacing w:val="-8"/>
        </w:rPr>
        <w:t>0</w:t>
      </w:r>
      <w:r>
        <w:rPr>
          <w:color w:val="000000" w:themeColor="text1"/>
        </w:rPr>
        <w:t>931-8310998,0931-8873473）仲裁；仲裁裁决对双方均具有约束力。</w:t>
      </w:r>
    </w:p>
    <w:p>
      <w:pPr>
        <w:pStyle w:val="3"/>
        <w:keepNext w:val="0"/>
        <w:keepLines w:val="0"/>
        <w:pageBreakBefore w:val="0"/>
        <w:widowControl w:val="0"/>
        <w:kinsoku/>
        <w:wordWrap/>
        <w:overflowPunct/>
        <w:topLinePunct w:val="0"/>
        <w:autoSpaceDE w:val="0"/>
        <w:autoSpaceDN w:val="0"/>
        <w:bidi w:val="0"/>
        <w:adjustRightInd/>
        <w:snapToGrid/>
        <w:spacing w:before="0" w:line="365" w:lineRule="auto"/>
        <w:ind w:left="0"/>
        <w:textAlignment w:val="auto"/>
      </w:pPr>
    </w:p>
    <w:p>
      <w:pPr>
        <w:pStyle w:val="3"/>
        <w:keepNext w:val="0"/>
        <w:keepLines w:val="0"/>
        <w:pageBreakBefore w:val="0"/>
        <w:widowControl w:val="0"/>
        <w:kinsoku/>
        <w:wordWrap/>
        <w:overflowPunct/>
        <w:topLinePunct w:val="0"/>
        <w:autoSpaceDE w:val="0"/>
        <w:autoSpaceDN w:val="0"/>
        <w:bidi w:val="0"/>
        <w:adjustRightInd/>
        <w:snapToGrid/>
        <w:spacing w:before="0"/>
        <w:ind w:left="0"/>
        <w:textAlignment w:val="auto"/>
      </w:pPr>
    </w:p>
    <w:p>
      <w:pPr>
        <w:pStyle w:val="2"/>
      </w:pPr>
      <w:r>
        <w:t>十四、说明</w:t>
      </w:r>
    </w:p>
    <w:p>
      <w:pPr>
        <w:pStyle w:val="7"/>
        <w:numPr>
          <w:ilvl w:val="0"/>
          <w:numId w:val="7"/>
        </w:numPr>
        <w:tabs>
          <w:tab w:val="left" w:pos="841"/>
        </w:tabs>
        <w:spacing w:before="158" w:after="0" w:line="364" w:lineRule="auto"/>
        <w:ind w:left="120" w:right="357" w:firstLine="480"/>
        <w:jc w:val="left"/>
        <w:rPr>
          <w:sz w:val="24"/>
        </w:rPr>
      </w:pPr>
      <w:r>
        <w:rPr>
          <w:spacing w:val="-8"/>
          <w:sz w:val="24"/>
        </w:rPr>
        <w:t>本合同任一方不得人为手写、涂抹、刮擦、修改，如有发生一律视同无效</w:t>
      </w:r>
      <w:r>
        <w:rPr>
          <w:sz w:val="24"/>
        </w:rPr>
        <w:t>并追究当事人行为的经济、法律责任。</w:t>
      </w:r>
    </w:p>
    <w:p>
      <w:pPr>
        <w:pStyle w:val="7"/>
        <w:numPr>
          <w:ilvl w:val="0"/>
          <w:numId w:val="7"/>
        </w:numPr>
        <w:tabs>
          <w:tab w:val="left" w:pos="841"/>
        </w:tabs>
        <w:spacing w:before="0" w:after="0" w:line="364" w:lineRule="auto"/>
        <w:ind w:left="120" w:right="357" w:firstLine="480"/>
        <w:jc w:val="left"/>
        <w:rPr>
          <w:sz w:val="24"/>
        </w:rPr>
      </w:pPr>
      <w:r>
        <w:rPr>
          <w:spacing w:val="-7"/>
          <w:sz w:val="24"/>
        </w:rPr>
        <w:t>本合同已明确了法人授权委托对象，还需一并提供法人代表和被授权人身</w:t>
      </w:r>
      <w:r>
        <w:rPr>
          <w:sz w:val="24"/>
        </w:rPr>
        <w:t>份证复印件以便核对做为合同附件。</w:t>
      </w:r>
    </w:p>
    <w:p>
      <w:pPr>
        <w:pStyle w:val="7"/>
        <w:numPr>
          <w:ilvl w:val="0"/>
          <w:numId w:val="7"/>
        </w:numPr>
        <w:tabs>
          <w:tab w:val="left" w:pos="841"/>
        </w:tabs>
        <w:spacing w:before="0" w:after="0" w:line="362" w:lineRule="auto"/>
        <w:ind w:left="120" w:right="361" w:firstLine="480"/>
        <w:jc w:val="left"/>
        <w:rPr>
          <w:sz w:val="24"/>
        </w:rPr>
      </w:pPr>
      <w:r>
        <w:rPr>
          <w:spacing w:val="-10"/>
          <w:sz w:val="24"/>
        </w:rPr>
        <w:t>本合同一式六份，劳务发包、劳务承包双方各执一份，施工现场双方负责</w:t>
      </w:r>
      <w:r>
        <w:rPr>
          <w:sz w:val="24"/>
        </w:rPr>
        <w:t>人各执一份、存档二份。</w:t>
      </w:r>
    </w:p>
    <w:p>
      <w:pPr>
        <w:pStyle w:val="7"/>
        <w:numPr>
          <w:ilvl w:val="0"/>
          <w:numId w:val="7"/>
        </w:numPr>
        <w:tabs>
          <w:tab w:val="left" w:pos="841"/>
        </w:tabs>
        <w:spacing w:before="3" w:after="0" w:line="364" w:lineRule="auto"/>
        <w:ind w:left="120" w:right="357" w:firstLine="480"/>
        <w:jc w:val="left"/>
        <w:rPr>
          <w:sz w:val="24"/>
        </w:rPr>
      </w:pPr>
      <w:r>
        <w:rPr>
          <w:spacing w:val="-8"/>
          <w:sz w:val="24"/>
        </w:rPr>
        <w:t>本合同经双方签字后，最终需加盖公章和骑缝章即生法律效力，有效期至</w:t>
      </w:r>
      <w:r>
        <w:rPr>
          <w:sz w:val="24"/>
        </w:rPr>
        <w:t>工程保修期满。</w:t>
      </w:r>
    </w:p>
    <w:p>
      <w:pPr>
        <w:pStyle w:val="7"/>
        <w:numPr>
          <w:ilvl w:val="0"/>
          <w:numId w:val="7"/>
        </w:numPr>
        <w:tabs>
          <w:tab w:val="left" w:pos="841"/>
        </w:tabs>
        <w:spacing w:before="1" w:after="0" w:line="240" w:lineRule="auto"/>
        <w:ind w:left="841" w:right="0" w:hanging="241"/>
        <w:jc w:val="left"/>
        <w:rPr>
          <w:sz w:val="24"/>
        </w:rPr>
      </w:pPr>
      <w:r>
        <w:rPr>
          <w:sz w:val="24"/>
        </w:rPr>
        <w:t>另行签订补充协议的签章必须完整齐全一致方才有效。</w:t>
      </w:r>
    </w:p>
    <w:p>
      <w:pPr>
        <w:pStyle w:val="7"/>
        <w:numPr>
          <w:ilvl w:val="0"/>
          <w:numId w:val="7"/>
        </w:numPr>
        <w:tabs>
          <w:tab w:val="left" w:pos="841"/>
        </w:tabs>
        <w:spacing w:before="158" w:after="0" w:line="240" w:lineRule="auto"/>
        <w:ind w:left="841" w:right="0" w:hanging="241"/>
        <w:jc w:val="left"/>
        <w:rPr>
          <w:sz w:val="24"/>
        </w:rPr>
      </w:pPr>
      <w:r>
        <w:rPr>
          <w:sz w:val="24"/>
        </w:rPr>
        <w:t>本合同划线处必须填写内容，不得空白。</w:t>
      </w:r>
    </w:p>
    <w:p>
      <w:pPr>
        <w:pStyle w:val="7"/>
        <w:numPr>
          <w:ilvl w:val="0"/>
          <w:numId w:val="7"/>
        </w:numPr>
        <w:tabs>
          <w:tab w:val="left" w:pos="841"/>
        </w:tabs>
        <w:spacing w:before="161" w:after="0" w:line="240" w:lineRule="auto"/>
        <w:ind w:left="841" w:right="0" w:hanging="241"/>
        <w:jc w:val="left"/>
        <w:rPr>
          <w:sz w:val="24"/>
        </w:rPr>
      </w:pPr>
      <w:r>
        <w:rPr>
          <w:sz w:val="24"/>
        </w:rPr>
        <w:t>本合同签订地：甘肃省兰州市七里河区。</w:t>
      </w:r>
    </w:p>
    <w:p>
      <w:pPr>
        <w:pStyle w:val="7"/>
        <w:numPr>
          <w:ilvl w:val="0"/>
          <w:numId w:val="7"/>
        </w:numPr>
        <w:tabs>
          <w:tab w:val="left" w:pos="841"/>
          <w:tab w:val="left" w:pos="5639"/>
        </w:tabs>
        <w:spacing w:before="158" w:after="0" w:line="240" w:lineRule="auto"/>
        <w:ind w:left="841" w:right="0" w:hanging="241"/>
        <w:jc w:val="left"/>
        <w:rPr>
          <w:sz w:val="24"/>
        </w:rPr>
      </w:pPr>
      <w:r>
        <w:pict>
          <v:line id="_x0000_s1027" o:spid="_x0000_s1027" o:spt="20" style="position:absolute;left:0pt;margin-left:186pt;margin-top:21.25pt;height:0pt;width:174pt;mso-position-horizontal-relative:page;z-index:251659264;mso-width-relative:page;mso-height-relative:page;" stroked="t" coordsize="21600,21600">
            <v:path arrowok="t"/>
            <v:fill focussize="0,0"/>
            <v:stroke weight="0.6pt" color="#000000"/>
            <v:imagedata o:title=""/>
            <o:lock v:ext="edit"/>
          </v:line>
        </w:pict>
      </w:r>
      <w:r>
        <w:rPr>
          <w:sz w:val="24"/>
        </w:rPr>
        <w:t>特别约定：</w:t>
      </w:r>
      <w:r>
        <w:rPr>
          <w:sz w:val="24"/>
        </w:rPr>
        <w:tab/>
      </w:r>
      <w:r>
        <w:rPr>
          <w:sz w:val="24"/>
        </w:rPr>
        <w:t>。</w:t>
      </w:r>
    </w:p>
    <w:p>
      <w:pPr>
        <w:pStyle w:val="3"/>
        <w:spacing w:before="9"/>
        <w:ind w:left="0"/>
        <w:rPr>
          <w:sz w:val="18"/>
        </w:rPr>
      </w:pPr>
    </w:p>
    <w:p>
      <w:pPr>
        <w:pStyle w:val="3"/>
      </w:pPr>
      <w:r>
        <w:t>（以下无正文）</w:t>
      </w:r>
    </w:p>
    <w:p>
      <w:pPr>
        <w:pStyle w:val="3"/>
        <w:tabs>
          <w:tab w:val="left" w:pos="4919"/>
        </w:tabs>
        <w:spacing w:before="160"/>
      </w:pPr>
      <w:r>
        <w:t>劳务发包方</w:t>
      </w:r>
      <w:r>
        <w:rPr>
          <w:spacing w:val="-120"/>
        </w:rPr>
        <w:t>：</w:t>
      </w:r>
      <w:r>
        <w:t>（签字盖章）</w:t>
      </w:r>
      <w:r>
        <w:tab/>
      </w:r>
      <w:r>
        <w:t>劳务承包方</w:t>
      </w:r>
      <w:r>
        <w:rPr>
          <w:spacing w:val="-120"/>
        </w:rPr>
        <w:t>：</w:t>
      </w:r>
      <w:r>
        <w:t>（签字盖章）</w:t>
      </w:r>
    </w:p>
    <w:p>
      <w:pPr>
        <w:pStyle w:val="3"/>
        <w:tabs>
          <w:tab w:val="left" w:pos="4991"/>
        </w:tabs>
        <w:spacing w:before="161"/>
      </w:pPr>
      <w:r>
        <w:t>统一社会信用代码：</w:t>
      </w:r>
      <w:r>
        <w:tab/>
      </w:r>
      <w:r>
        <w:t>统一社会信用代码：</w:t>
      </w:r>
    </w:p>
    <w:p>
      <w:pPr>
        <w:pStyle w:val="3"/>
        <w:tabs>
          <w:tab w:val="left" w:pos="5039"/>
        </w:tabs>
        <w:spacing w:before="160"/>
      </w:pPr>
      <w:r>
        <w:t>住所：</w:t>
      </w:r>
      <w:r>
        <w:tab/>
      </w:r>
      <w:r>
        <w:t>住所：</w:t>
      </w:r>
    </w:p>
    <w:p>
      <w:pPr>
        <w:pStyle w:val="3"/>
        <w:tabs>
          <w:tab w:val="left" w:pos="5039"/>
        </w:tabs>
        <w:spacing w:before="161"/>
      </w:pPr>
      <w:r>
        <w:t>法定代表人</w:t>
      </w:r>
      <w:r>
        <w:rPr>
          <w:spacing w:val="-120"/>
        </w:rPr>
        <w:t>：</w:t>
      </w:r>
      <w:r>
        <w:t>（签字盖章）</w:t>
      </w:r>
      <w:r>
        <w:tab/>
      </w:r>
      <w:r>
        <w:t>法定代表人</w:t>
      </w:r>
      <w:r>
        <w:rPr>
          <w:spacing w:val="-120"/>
        </w:rPr>
        <w:t>：</w:t>
      </w:r>
      <w:r>
        <w:t>（签字盖章）</w:t>
      </w:r>
    </w:p>
    <w:p>
      <w:pPr>
        <w:pStyle w:val="3"/>
        <w:tabs>
          <w:tab w:val="left" w:pos="5039"/>
        </w:tabs>
        <w:spacing w:before="160"/>
      </w:pPr>
      <w:r>
        <w:t>授权代表人:（签字盖章）</w:t>
      </w:r>
      <w:r>
        <w:tab/>
      </w:r>
      <w:r>
        <w:t>授权的代表人</w:t>
      </w:r>
      <w:r>
        <w:rPr>
          <w:spacing w:val="-120"/>
        </w:rPr>
        <w:t>：</w:t>
      </w:r>
      <w:r>
        <w:t>（签字盖章）</w:t>
      </w:r>
    </w:p>
    <w:p>
      <w:pPr>
        <w:pStyle w:val="3"/>
        <w:tabs>
          <w:tab w:val="left" w:pos="4994"/>
        </w:tabs>
        <w:spacing w:before="161"/>
      </w:pPr>
      <w:r>
        <w:t>委托代理人</w:t>
      </w:r>
      <w:r>
        <w:rPr>
          <w:spacing w:val="-144"/>
        </w:rPr>
        <w:t>：</w:t>
      </w:r>
      <w:r>
        <w:t>（签字盖章）</w:t>
      </w:r>
      <w:r>
        <w:tab/>
      </w:r>
      <w:r>
        <w:t>委托代理人</w:t>
      </w:r>
      <w:r>
        <w:rPr>
          <w:spacing w:val="-144"/>
        </w:rPr>
        <w:t>：</w:t>
      </w:r>
      <w:r>
        <w:t>（签字盖章）</w:t>
      </w:r>
    </w:p>
    <w:p>
      <w:pPr>
        <w:pStyle w:val="3"/>
        <w:tabs>
          <w:tab w:val="left" w:pos="5039"/>
        </w:tabs>
        <w:spacing w:before="160"/>
      </w:pPr>
      <w:r>
        <w:t>开户行：</w:t>
      </w:r>
      <w:r>
        <w:tab/>
      </w:r>
      <w:r>
        <w:t>开户行：</w:t>
      </w:r>
    </w:p>
    <w:p>
      <w:pPr>
        <w:pStyle w:val="3"/>
        <w:tabs>
          <w:tab w:val="left" w:pos="5039"/>
        </w:tabs>
        <w:spacing w:before="161"/>
      </w:pPr>
      <w:r>
        <w:t>开户行地址及电话：</w:t>
      </w:r>
      <w:r>
        <w:tab/>
      </w:r>
      <w:r>
        <w:t>开户行地址及电话：</w:t>
      </w:r>
    </w:p>
    <w:p>
      <w:pPr>
        <w:pStyle w:val="3"/>
        <w:tabs>
          <w:tab w:val="left" w:pos="5039"/>
        </w:tabs>
        <w:spacing w:before="160"/>
      </w:pPr>
      <w:r>
        <w:t>账号：</w:t>
      </w:r>
      <w:r>
        <w:tab/>
      </w:r>
      <w:r>
        <w:t>账号：</w:t>
      </w:r>
    </w:p>
    <w:p>
      <w:pPr>
        <w:pStyle w:val="3"/>
        <w:tabs>
          <w:tab w:val="left" w:pos="5039"/>
        </w:tabs>
        <w:spacing w:before="161"/>
      </w:pPr>
      <w:r>
        <w:t>邮政编码：</w:t>
      </w:r>
      <w:r>
        <w:tab/>
      </w:r>
      <w:r>
        <w:t>邮政编码：</w:t>
      </w:r>
    </w:p>
    <w:p>
      <w:pPr>
        <w:spacing w:after="0"/>
        <w:sectPr>
          <w:pgSz w:w="11910" w:h="16840"/>
          <w:pgMar w:top="1380" w:right="1440" w:bottom="280" w:left="1680" w:header="720" w:footer="720" w:gutter="0"/>
          <w:cols w:space="720" w:num="1"/>
        </w:sectPr>
      </w:pPr>
    </w:p>
    <w:p>
      <w:pPr>
        <w:pStyle w:val="3"/>
        <w:tabs>
          <w:tab w:val="left" w:pos="719"/>
          <w:tab w:val="left" w:pos="1319"/>
          <w:tab w:val="left" w:pos="1919"/>
          <w:tab w:val="left" w:pos="5159"/>
          <w:tab w:val="left" w:pos="5759"/>
          <w:tab w:val="left" w:pos="6359"/>
          <w:tab w:val="left" w:pos="6959"/>
        </w:tabs>
        <w:spacing w:before="42"/>
      </w:pPr>
      <w:r>
        <w:t>20</w:t>
      </w:r>
      <w:r>
        <w:tab/>
      </w:r>
      <w:r>
        <w:t>年</w:t>
      </w:r>
      <w:r>
        <w:tab/>
      </w:r>
      <w:r>
        <w:t>月</w:t>
      </w:r>
      <w:r>
        <w:tab/>
      </w:r>
      <w:r>
        <w:t>日</w:t>
      </w:r>
      <w:r>
        <w:tab/>
      </w:r>
      <w:r>
        <w:t>20</w:t>
      </w:r>
      <w:r>
        <w:tab/>
      </w:r>
      <w:r>
        <w:t>年</w:t>
      </w:r>
      <w:r>
        <w:tab/>
      </w:r>
      <w:r>
        <w:t>月</w:t>
      </w:r>
      <w:r>
        <w:tab/>
      </w:r>
      <w:r>
        <w:t>日</w:t>
      </w:r>
    </w:p>
    <w:sectPr>
      <w:pgSz w:w="11910" w:h="16840"/>
      <w:pgMar w:top="1460" w:right="14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22" w:hanging="241"/>
        <w:jc w:val="right"/>
      </w:pPr>
      <w:rPr>
        <w:rFonts w:hint="default" w:ascii="仿宋" w:hAnsi="仿宋" w:eastAsia="仿宋" w:cs="仿宋"/>
        <w:spacing w:val="-48"/>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abstractNum w:abstractNumId="1">
    <w:nsid w:val="8CAEB125"/>
    <w:multiLevelType w:val="multilevel"/>
    <w:tmpl w:val="8CAEB125"/>
    <w:lvl w:ilvl="0" w:tentative="0">
      <w:start w:val="1"/>
      <w:numFmt w:val="decimal"/>
      <w:lvlText w:val="%1."/>
      <w:lvlJc w:val="left"/>
      <w:pPr>
        <w:ind w:left="120" w:hanging="241"/>
        <w:jc w:val="left"/>
      </w:pPr>
      <w:rPr>
        <w:rFonts w:hint="default" w:ascii="仿宋" w:hAnsi="仿宋" w:eastAsia="仿宋" w:cs="仿宋"/>
        <w:spacing w:val="-120"/>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abstractNum w:abstractNumId="2">
    <w:nsid w:val="B8CEF35B"/>
    <w:multiLevelType w:val="multilevel"/>
    <w:tmpl w:val="B8CEF35B"/>
    <w:lvl w:ilvl="0" w:tentative="0">
      <w:start w:val="1"/>
      <w:numFmt w:val="decimal"/>
      <w:lvlText w:val="（%1）"/>
      <w:lvlJc w:val="left"/>
      <w:pPr>
        <w:ind w:left="1202" w:hanging="603"/>
        <w:jc w:val="left"/>
      </w:pPr>
      <w:rPr>
        <w:rFonts w:hint="default"/>
        <w:b/>
        <w:bCs/>
        <w:w w:val="99"/>
        <w:lang w:val="zh-CN" w:eastAsia="zh-CN" w:bidi="zh-CN"/>
      </w:rPr>
    </w:lvl>
    <w:lvl w:ilvl="1" w:tentative="0">
      <w:start w:val="0"/>
      <w:numFmt w:val="bullet"/>
      <w:lvlText w:val="•"/>
      <w:lvlJc w:val="left"/>
      <w:pPr>
        <w:ind w:left="1958" w:hanging="603"/>
      </w:pPr>
      <w:rPr>
        <w:rFonts w:hint="default"/>
        <w:lang w:val="zh-CN" w:eastAsia="zh-CN" w:bidi="zh-CN"/>
      </w:rPr>
    </w:lvl>
    <w:lvl w:ilvl="2" w:tentative="0">
      <w:start w:val="0"/>
      <w:numFmt w:val="bullet"/>
      <w:lvlText w:val="•"/>
      <w:lvlJc w:val="left"/>
      <w:pPr>
        <w:ind w:left="2717" w:hanging="603"/>
      </w:pPr>
      <w:rPr>
        <w:rFonts w:hint="default"/>
        <w:lang w:val="zh-CN" w:eastAsia="zh-CN" w:bidi="zh-CN"/>
      </w:rPr>
    </w:lvl>
    <w:lvl w:ilvl="3" w:tentative="0">
      <w:start w:val="0"/>
      <w:numFmt w:val="bullet"/>
      <w:lvlText w:val="•"/>
      <w:lvlJc w:val="left"/>
      <w:pPr>
        <w:ind w:left="3475" w:hanging="603"/>
      </w:pPr>
      <w:rPr>
        <w:rFonts w:hint="default"/>
        <w:lang w:val="zh-CN" w:eastAsia="zh-CN" w:bidi="zh-CN"/>
      </w:rPr>
    </w:lvl>
    <w:lvl w:ilvl="4" w:tentative="0">
      <w:start w:val="0"/>
      <w:numFmt w:val="bullet"/>
      <w:lvlText w:val="•"/>
      <w:lvlJc w:val="left"/>
      <w:pPr>
        <w:ind w:left="4234" w:hanging="603"/>
      </w:pPr>
      <w:rPr>
        <w:rFonts w:hint="default"/>
        <w:lang w:val="zh-CN" w:eastAsia="zh-CN" w:bidi="zh-CN"/>
      </w:rPr>
    </w:lvl>
    <w:lvl w:ilvl="5" w:tentative="0">
      <w:start w:val="0"/>
      <w:numFmt w:val="bullet"/>
      <w:lvlText w:val="•"/>
      <w:lvlJc w:val="left"/>
      <w:pPr>
        <w:ind w:left="4993" w:hanging="603"/>
      </w:pPr>
      <w:rPr>
        <w:rFonts w:hint="default"/>
        <w:lang w:val="zh-CN" w:eastAsia="zh-CN" w:bidi="zh-CN"/>
      </w:rPr>
    </w:lvl>
    <w:lvl w:ilvl="6" w:tentative="0">
      <w:start w:val="0"/>
      <w:numFmt w:val="bullet"/>
      <w:lvlText w:val="•"/>
      <w:lvlJc w:val="left"/>
      <w:pPr>
        <w:ind w:left="5751" w:hanging="603"/>
      </w:pPr>
      <w:rPr>
        <w:rFonts w:hint="default"/>
        <w:lang w:val="zh-CN" w:eastAsia="zh-CN" w:bidi="zh-CN"/>
      </w:rPr>
    </w:lvl>
    <w:lvl w:ilvl="7" w:tentative="0">
      <w:start w:val="0"/>
      <w:numFmt w:val="bullet"/>
      <w:lvlText w:val="•"/>
      <w:lvlJc w:val="left"/>
      <w:pPr>
        <w:ind w:left="6510" w:hanging="603"/>
      </w:pPr>
      <w:rPr>
        <w:rFonts w:hint="default"/>
        <w:lang w:val="zh-CN" w:eastAsia="zh-CN" w:bidi="zh-CN"/>
      </w:rPr>
    </w:lvl>
    <w:lvl w:ilvl="8" w:tentative="0">
      <w:start w:val="0"/>
      <w:numFmt w:val="bullet"/>
      <w:lvlText w:val="•"/>
      <w:lvlJc w:val="left"/>
      <w:pPr>
        <w:ind w:left="7268" w:hanging="603"/>
      </w:pPr>
      <w:rPr>
        <w:rFonts w:hint="default"/>
        <w:lang w:val="zh-CN" w:eastAsia="zh-CN" w:bidi="zh-CN"/>
      </w:rPr>
    </w:lvl>
  </w:abstractNum>
  <w:abstractNum w:abstractNumId="3">
    <w:nsid w:val="1ACDE60F"/>
    <w:multiLevelType w:val="multilevel"/>
    <w:tmpl w:val="1ACDE60F"/>
    <w:lvl w:ilvl="0" w:tentative="0">
      <w:start w:val="1"/>
      <w:numFmt w:val="decimal"/>
      <w:lvlText w:val="%1."/>
      <w:lvlJc w:val="left"/>
      <w:pPr>
        <w:ind w:left="122" w:hanging="241"/>
        <w:jc w:val="left"/>
      </w:pPr>
      <w:rPr>
        <w:rFonts w:hint="default" w:ascii="仿宋" w:hAnsi="仿宋" w:eastAsia="仿宋" w:cs="仿宋"/>
        <w:spacing w:val="-34"/>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abstractNum w:abstractNumId="4">
    <w:nsid w:val="322D85CA"/>
    <w:multiLevelType w:val="multilevel"/>
    <w:tmpl w:val="322D85CA"/>
    <w:lvl w:ilvl="0" w:tentative="0">
      <w:start w:val="1"/>
      <w:numFmt w:val="decimal"/>
      <w:lvlText w:val="%1."/>
      <w:lvlJc w:val="left"/>
      <w:pPr>
        <w:ind w:left="120" w:hanging="241"/>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abstractNum w:abstractNumId="5">
    <w:nsid w:val="5FFFB1A7"/>
    <w:multiLevelType w:val="multilevel"/>
    <w:tmpl w:val="5FFFB1A7"/>
    <w:lvl w:ilvl="0" w:tentative="0">
      <w:start w:val="1"/>
      <w:numFmt w:val="decimal"/>
      <w:lvlText w:val="%1."/>
      <w:lvlJc w:val="left"/>
      <w:pPr>
        <w:ind w:left="120" w:hanging="241"/>
        <w:jc w:val="righ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abstractNum w:abstractNumId="6">
    <w:nsid w:val="74C28B35"/>
    <w:multiLevelType w:val="multilevel"/>
    <w:tmpl w:val="74C28B35"/>
    <w:lvl w:ilvl="0" w:tentative="0">
      <w:start w:val="1"/>
      <w:numFmt w:val="decimal"/>
      <w:lvlText w:val="%1."/>
      <w:lvlJc w:val="left"/>
      <w:pPr>
        <w:ind w:left="120" w:hanging="241"/>
        <w:jc w:val="left"/>
      </w:pPr>
      <w:rPr>
        <w:rFonts w:hint="default" w:ascii="仿宋" w:hAnsi="仿宋" w:eastAsia="仿宋" w:cs="仿宋"/>
        <w:spacing w:val="-120"/>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B5804F2"/>
    <w:rsid w:val="1C6409CA"/>
    <w:rsid w:val="2BC0395C"/>
    <w:rsid w:val="716C5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600"/>
      <w:outlineLvl w:val="1"/>
    </w:pPr>
    <w:rPr>
      <w:rFonts w:ascii="仿宋" w:hAnsi="仿宋" w:eastAsia="仿宋" w:cs="仿宋"/>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right="357" w:firstLine="480"/>
    </w:pPr>
    <w:rPr>
      <w:rFonts w:ascii="仿宋" w:hAnsi="仿宋" w:eastAsia="仿宋" w:cs="仿宋"/>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2021-03-22T04:40:00Z</dcterms:created>
  <dc:creator>Administrator</dc:creator>
  <cp:lastModifiedBy>胡珀</cp:lastModifiedBy>
  <dcterms:modified xsi:type="dcterms:W3CDTF">2021-03-22T05:49:44Z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WPS 文字</vt:lpwstr>
  </property>
  <property fmtid="{D5CDD505-2E9C-101B-9397-08002B2CF9AE}" pid="4" name="LastSaved">
    <vt:filetime>2021-03-22T00:00:00Z</vt:filetime>
  </property>
  <property fmtid="{D5CDD505-2E9C-101B-9397-08002B2CF9AE}" pid="5" name="KSOProductBuildVer">
    <vt:lpwstr>2052-11.1.0.10356</vt:lpwstr>
  </property>
  <property fmtid="{D5CDD505-2E9C-101B-9397-08002B2CF9AE}" pid="6" name="ICV">
    <vt:lpwstr>836EE4500FC844AD846B07C7F1429277</vt:lpwstr>
  </property>
</Properties>
</file>